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91C09" w14:textId="77777777" w:rsidR="008B4E8E" w:rsidRDefault="008B4E8E" w:rsidP="008B4E8E">
      <w:pPr>
        <w:jc w:val="both"/>
        <w:rPr>
          <w:color w:val="002060"/>
          <w:sz w:val="20"/>
          <w:szCs w:val="20"/>
        </w:rPr>
      </w:pPr>
    </w:p>
    <w:p w14:paraId="63353E10" w14:textId="77777777" w:rsidR="008B4E8E" w:rsidRPr="008B4E8E" w:rsidRDefault="008B4E8E" w:rsidP="008B4E8E">
      <w:pPr>
        <w:pStyle w:val="Heading1"/>
        <w:jc w:val="center"/>
        <w:rPr>
          <w:lang w:val="el-GR" w:eastAsia="el-GR"/>
        </w:rPr>
      </w:pPr>
      <w:r w:rsidRPr="008B4E8E">
        <w:rPr>
          <w:lang w:val="el-GR"/>
        </w:rPr>
        <w:t xml:space="preserve">Ο όμιλος </w:t>
      </w:r>
      <w:r>
        <w:t>Qualco</w:t>
      </w:r>
      <w:r w:rsidRPr="008B4E8E">
        <w:rPr>
          <w:lang w:val="el-GR"/>
        </w:rPr>
        <w:t xml:space="preserve"> επιτυγχάνει σημαντική ανάπτυξη κατά το πρώτο έτος ως εισηγμένη εταιρεία</w:t>
      </w:r>
    </w:p>
    <w:p w14:paraId="0C9ADFE1" w14:textId="77777777" w:rsidR="008B4E8E" w:rsidRPr="008B4E8E" w:rsidRDefault="008B4E8E" w:rsidP="008B4E8E">
      <w:pPr>
        <w:jc w:val="both"/>
        <w:rPr>
          <w:lang w:val="el-GR" w:eastAsia="el-GR"/>
        </w:rPr>
      </w:pPr>
      <w:r w:rsidRPr="008B4E8E">
        <w:rPr>
          <w:color w:val="002060"/>
          <w:sz w:val="20"/>
          <w:szCs w:val="20"/>
          <w:lang w:val="el-GR"/>
        </w:rPr>
        <w:t xml:space="preserve">Ο όμιλος </w:t>
      </w:r>
      <w:r>
        <w:rPr>
          <w:color w:val="002060"/>
          <w:sz w:val="20"/>
          <w:szCs w:val="20"/>
        </w:rPr>
        <w:t>Qualco</w:t>
      </w:r>
      <w:r w:rsidRPr="008B4E8E">
        <w:rPr>
          <w:color w:val="002060"/>
          <w:sz w:val="20"/>
          <w:szCs w:val="20"/>
          <w:lang w:val="el-GR"/>
        </w:rPr>
        <w:t xml:space="preserve"> κατέγραψε ένα ισχυρό πρώτο έτος ως εισηγμένη εταιρεία, με πειθαρχημένη υλοποίηση έναντι των στρατηγικών στόχων που τέθηκαν κατά τη δημόσια εγγραφή (</w:t>
      </w:r>
      <w:r>
        <w:rPr>
          <w:color w:val="002060"/>
          <w:sz w:val="20"/>
          <w:szCs w:val="20"/>
        </w:rPr>
        <w:t>IPO</w:t>
      </w:r>
      <w:r w:rsidRPr="008B4E8E">
        <w:rPr>
          <w:color w:val="002060"/>
          <w:sz w:val="20"/>
          <w:szCs w:val="20"/>
          <w:lang w:val="el-GR"/>
        </w:rPr>
        <w:t>). Η επίδοσή του επιβεβαιώνει ότι παραμένει σε τροχιά επίτευξης της μεσοπρόθεσμης καθοδήγησης, με σαφή δυναμική που μεταφέρεται στο 2026 και πέραν αυτού.</w:t>
      </w:r>
    </w:p>
    <w:p w14:paraId="2C8B7C14" w14:textId="77777777" w:rsidR="008B4E8E" w:rsidRPr="008B4E8E" w:rsidRDefault="008B4E8E" w:rsidP="008B4E8E">
      <w:pPr>
        <w:jc w:val="both"/>
        <w:rPr>
          <w:lang w:val="el-GR" w:eastAsia="el-GR"/>
        </w:rPr>
      </w:pPr>
      <w:r w:rsidRPr="008B4E8E">
        <w:rPr>
          <w:color w:val="002060"/>
          <w:sz w:val="20"/>
          <w:szCs w:val="20"/>
          <w:lang w:val="el-GR"/>
        </w:rPr>
        <w:t>Κατά τη χρήση 2025 (</w:t>
      </w:r>
      <w:r>
        <w:rPr>
          <w:color w:val="002060"/>
          <w:sz w:val="20"/>
          <w:szCs w:val="20"/>
        </w:rPr>
        <w:t>FY</w:t>
      </w:r>
      <w:r w:rsidRPr="008B4E8E">
        <w:rPr>
          <w:color w:val="002060"/>
          <w:sz w:val="20"/>
          <w:szCs w:val="20"/>
          <w:lang w:val="el-GR"/>
        </w:rPr>
        <w:t xml:space="preserve"> 2025), ο όμιλος σημείωσε αύξηση εσόδων κατά 17% και αύξηση Προσαρμοσμένου </w:t>
      </w:r>
      <w:r>
        <w:rPr>
          <w:color w:val="002060"/>
          <w:sz w:val="20"/>
          <w:szCs w:val="20"/>
        </w:rPr>
        <w:t>EBITDA</w:t>
      </w:r>
      <w:r w:rsidRPr="008B4E8E">
        <w:rPr>
          <w:color w:val="002060"/>
          <w:sz w:val="20"/>
          <w:szCs w:val="20"/>
          <w:lang w:val="el-GR"/>
        </w:rPr>
        <w:t xml:space="preserve"> κατά 12% σε ετήσια βάση. Για τους δώδεκα μήνες που έληξαν στις 31 Δεκεμβρίου 2025, κατέγραψε περιθώριο Προσαρμοσμένου </w:t>
      </w:r>
      <w:r>
        <w:rPr>
          <w:color w:val="002060"/>
          <w:sz w:val="20"/>
          <w:szCs w:val="20"/>
        </w:rPr>
        <w:t>EBITDA</w:t>
      </w:r>
      <w:r w:rsidRPr="008B4E8E">
        <w:rPr>
          <w:color w:val="002060"/>
          <w:sz w:val="20"/>
          <w:szCs w:val="20"/>
          <w:lang w:val="el-GR"/>
        </w:rPr>
        <w:t xml:space="preserve"> 20%, σε ευθυγράμμιση με την καθοδήγηση της δημόσιας εγγραφής. Η μόχλευση παρέμεινε σταθερή στο 0.8</w:t>
      </w:r>
      <w:r>
        <w:rPr>
          <w:color w:val="002060"/>
          <w:sz w:val="20"/>
          <w:szCs w:val="20"/>
        </w:rPr>
        <w:t>x</w:t>
      </w:r>
      <w:r w:rsidRPr="008B4E8E">
        <w:rPr>
          <w:color w:val="002060"/>
          <w:sz w:val="20"/>
          <w:szCs w:val="20"/>
          <w:lang w:val="el-GR"/>
        </w:rPr>
        <w:t xml:space="preserve"> Καθαρός Δανεισμός (εξαιρουμένων των αντληθέντων κεφαλαίων από τη Δημόσια Προσφορά και των μισθώσεων) προς Προσαρμοσμένο </w:t>
      </w:r>
      <w:r>
        <w:rPr>
          <w:color w:val="002060"/>
          <w:sz w:val="20"/>
          <w:szCs w:val="20"/>
        </w:rPr>
        <w:t>EBITDA</w:t>
      </w:r>
      <w:r w:rsidRPr="008B4E8E">
        <w:rPr>
          <w:color w:val="002060"/>
          <w:sz w:val="20"/>
          <w:szCs w:val="20"/>
          <w:lang w:val="el-GR"/>
        </w:rPr>
        <w:t>, ενώ η μετατροπή σε ταμειακές ροές ανήλθε σε 48%.</w:t>
      </w:r>
    </w:p>
    <w:p w14:paraId="7E23CDB9" w14:textId="77777777" w:rsidR="008B4E8E" w:rsidRPr="008B4E8E" w:rsidRDefault="008B4E8E" w:rsidP="008B4E8E">
      <w:pPr>
        <w:jc w:val="both"/>
        <w:rPr>
          <w:lang w:val="el-GR" w:eastAsia="el-GR"/>
        </w:rPr>
      </w:pPr>
      <w:r w:rsidRPr="008B4E8E">
        <w:rPr>
          <w:color w:val="002060"/>
          <w:sz w:val="20"/>
          <w:szCs w:val="20"/>
          <w:lang w:val="el-GR"/>
        </w:rPr>
        <w:t xml:space="preserve">Παρά την μακροοικονομική αβεβαιότητα και τις ευρύτερες πιέσεις στον κλάδο λογισμικού και της πληροφορικής, </w:t>
      </w:r>
      <w:r>
        <w:rPr>
          <w:color w:val="002060"/>
          <w:sz w:val="20"/>
          <w:szCs w:val="20"/>
        </w:rPr>
        <w:t>o</w:t>
      </w:r>
      <w:r w:rsidRPr="008B4E8E">
        <w:rPr>
          <w:color w:val="002060"/>
          <w:sz w:val="20"/>
          <w:szCs w:val="20"/>
          <w:lang w:val="el-GR"/>
        </w:rPr>
        <w:t xml:space="preserve"> όμιλος </w:t>
      </w:r>
      <w:r>
        <w:rPr>
          <w:color w:val="002060"/>
          <w:sz w:val="20"/>
          <w:szCs w:val="20"/>
        </w:rPr>
        <w:t>Qualco</w:t>
      </w:r>
      <w:r w:rsidRPr="008B4E8E">
        <w:rPr>
          <w:color w:val="002060"/>
          <w:sz w:val="20"/>
          <w:szCs w:val="20"/>
          <w:lang w:val="el-GR"/>
        </w:rPr>
        <w:t xml:space="preserve"> σημείωσε υπεραπόδοση έναντι της χρήσης 2024 (</w:t>
      </w:r>
      <w:r>
        <w:rPr>
          <w:color w:val="002060"/>
          <w:sz w:val="20"/>
          <w:szCs w:val="20"/>
        </w:rPr>
        <w:t>FY</w:t>
      </w:r>
      <w:r w:rsidRPr="008B4E8E">
        <w:rPr>
          <w:color w:val="002060"/>
          <w:sz w:val="20"/>
          <w:szCs w:val="20"/>
          <w:lang w:val="el-GR"/>
        </w:rPr>
        <w:t xml:space="preserve"> 2024). Αυτό ενισχύει την πεποίθηση του οργανισμού ότι θα διατηρήσει την ανάπτυξη εσόδων στη μεσαία κλίμακα των διψήφιων ποσοστών, υλοποιώντας το στρατηγικό όραμά του.</w:t>
      </w:r>
    </w:p>
    <w:p w14:paraId="3E9836D5" w14:textId="77777777" w:rsidR="008B4E8E" w:rsidRPr="008B4E8E" w:rsidRDefault="008B4E8E" w:rsidP="008B4E8E">
      <w:pPr>
        <w:jc w:val="both"/>
        <w:rPr>
          <w:lang w:val="el-GR" w:eastAsia="el-GR"/>
        </w:rPr>
      </w:pPr>
      <w:r w:rsidRPr="008B4E8E">
        <w:rPr>
          <w:color w:val="002060"/>
          <w:sz w:val="20"/>
          <w:szCs w:val="20"/>
          <w:lang w:val="el-GR"/>
        </w:rPr>
        <w:t>Το 2025 σηματοδότησε απτή πρόοδο σε όλους τους πυλώνες της στρατηγικής του ομίλου. Συγκεκριμένα, προχώρησε αποφασιστικά προς την εξέλιξή του ως εταιρεία «</w:t>
      </w:r>
      <w:r>
        <w:rPr>
          <w:color w:val="002060"/>
          <w:sz w:val="20"/>
          <w:szCs w:val="20"/>
        </w:rPr>
        <w:t>AI</w:t>
      </w:r>
      <w:r w:rsidRPr="008B4E8E">
        <w:rPr>
          <w:color w:val="002060"/>
          <w:sz w:val="20"/>
          <w:szCs w:val="20"/>
          <w:lang w:val="el-GR"/>
        </w:rPr>
        <w:t>-</w:t>
      </w:r>
      <w:r>
        <w:rPr>
          <w:color w:val="002060"/>
          <w:sz w:val="20"/>
          <w:szCs w:val="20"/>
        </w:rPr>
        <w:t>first</w:t>
      </w:r>
      <w:r w:rsidRPr="008B4E8E">
        <w:rPr>
          <w:color w:val="002060"/>
          <w:sz w:val="20"/>
          <w:szCs w:val="20"/>
          <w:lang w:val="el-GR"/>
        </w:rPr>
        <w:t xml:space="preserve">», επενδύοντας σε χαρτοφυλάκιο προϊόντων για το 2026, που περιλαμβάνει τα </w:t>
      </w:r>
      <w:r>
        <w:rPr>
          <w:color w:val="002060"/>
          <w:sz w:val="20"/>
          <w:szCs w:val="20"/>
        </w:rPr>
        <w:t>Agenly</w:t>
      </w:r>
      <w:r w:rsidRPr="008B4E8E">
        <w:rPr>
          <w:color w:val="002060"/>
          <w:sz w:val="20"/>
          <w:szCs w:val="20"/>
          <w:lang w:val="el-GR"/>
        </w:rPr>
        <w:t xml:space="preserve">, </w:t>
      </w:r>
      <w:r>
        <w:rPr>
          <w:color w:val="002060"/>
          <w:sz w:val="20"/>
          <w:szCs w:val="20"/>
        </w:rPr>
        <w:t>ML</w:t>
      </w:r>
      <w:r w:rsidRPr="008B4E8E">
        <w:rPr>
          <w:color w:val="002060"/>
          <w:sz w:val="20"/>
          <w:szCs w:val="20"/>
          <w:lang w:val="el-GR"/>
        </w:rPr>
        <w:t xml:space="preserve"> </w:t>
      </w:r>
      <w:r>
        <w:rPr>
          <w:color w:val="002060"/>
          <w:sz w:val="20"/>
          <w:szCs w:val="20"/>
        </w:rPr>
        <w:t>Studio</w:t>
      </w:r>
      <w:r w:rsidRPr="008B4E8E">
        <w:rPr>
          <w:color w:val="002060"/>
          <w:sz w:val="20"/>
          <w:szCs w:val="20"/>
          <w:lang w:val="el-GR"/>
        </w:rPr>
        <w:t xml:space="preserve"> και το </w:t>
      </w:r>
      <w:r>
        <w:rPr>
          <w:color w:val="002060"/>
          <w:sz w:val="20"/>
          <w:szCs w:val="20"/>
        </w:rPr>
        <w:t>Qualco</w:t>
      </w:r>
      <w:r w:rsidRPr="008B4E8E">
        <w:rPr>
          <w:color w:val="002060"/>
          <w:sz w:val="20"/>
          <w:szCs w:val="20"/>
          <w:lang w:val="el-GR"/>
        </w:rPr>
        <w:t xml:space="preserve"> </w:t>
      </w:r>
      <w:r>
        <w:rPr>
          <w:color w:val="002060"/>
          <w:sz w:val="20"/>
          <w:szCs w:val="20"/>
        </w:rPr>
        <w:t>Centre</w:t>
      </w:r>
      <w:r w:rsidRPr="008B4E8E">
        <w:rPr>
          <w:color w:val="002060"/>
          <w:sz w:val="20"/>
          <w:szCs w:val="20"/>
          <w:lang w:val="el-GR"/>
        </w:rPr>
        <w:t xml:space="preserve"> </w:t>
      </w:r>
      <w:r>
        <w:rPr>
          <w:color w:val="002060"/>
          <w:sz w:val="20"/>
          <w:szCs w:val="20"/>
        </w:rPr>
        <w:t>for</w:t>
      </w:r>
      <w:r w:rsidRPr="008B4E8E">
        <w:rPr>
          <w:color w:val="002060"/>
          <w:sz w:val="20"/>
          <w:szCs w:val="20"/>
          <w:lang w:val="el-GR"/>
        </w:rPr>
        <w:t xml:space="preserve"> </w:t>
      </w:r>
      <w:r>
        <w:rPr>
          <w:color w:val="002060"/>
          <w:sz w:val="20"/>
          <w:szCs w:val="20"/>
        </w:rPr>
        <w:t>Applied</w:t>
      </w:r>
      <w:r w:rsidRPr="008B4E8E">
        <w:rPr>
          <w:color w:val="002060"/>
          <w:sz w:val="20"/>
          <w:szCs w:val="20"/>
          <w:lang w:val="el-GR"/>
        </w:rPr>
        <w:t xml:space="preserve"> </w:t>
      </w:r>
      <w:r>
        <w:rPr>
          <w:color w:val="002060"/>
          <w:sz w:val="20"/>
          <w:szCs w:val="20"/>
        </w:rPr>
        <w:t>Research</w:t>
      </w:r>
      <w:r w:rsidRPr="008B4E8E">
        <w:rPr>
          <w:color w:val="002060"/>
          <w:sz w:val="20"/>
          <w:szCs w:val="20"/>
          <w:lang w:val="el-GR"/>
        </w:rPr>
        <w:t xml:space="preserve"> &amp; </w:t>
      </w:r>
      <w:r>
        <w:rPr>
          <w:color w:val="002060"/>
          <w:sz w:val="20"/>
          <w:szCs w:val="20"/>
        </w:rPr>
        <w:t>Technology</w:t>
      </w:r>
      <w:r w:rsidRPr="008B4E8E">
        <w:rPr>
          <w:color w:val="002060"/>
          <w:sz w:val="20"/>
          <w:szCs w:val="20"/>
          <w:lang w:val="el-GR"/>
        </w:rPr>
        <w:t xml:space="preserve"> (</w:t>
      </w:r>
      <w:r>
        <w:rPr>
          <w:color w:val="002060"/>
          <w:sz w:val="20"/>
          <w:szCs w:val="20"/>
        </w:rPr>
        <w:t>QART</w:t>
      </w:r>
      <w:r w:rsidRPr="008B4E8E">
        <w:rPr>
          <w:color w:val="002060"/>
          <w:sz w:val="20"/>
          <w:szCs w:val="20"/>
          <w:lang w:val="el-GR"/>
        </w:rPr>
        <w:t xml:space="preserve">). Επιτάχυνε τη διεθνή ανάπτυξη, με ουσιαστικές νέες επιτυχίες τόσο στον καθιερωμένο κλάδο </w:t>
      </w:r>
      <w:r>
        <w:rPr>
          <w:color w:val="002060"/>
          <w:sz w:val="20"/>
          <w:szCs w:val="20"/>
        </w:rPr>
        <w:t>Qualco</w:t>
      </w:r>
      <w:r w:rsidRPr="008B4E8E">
        <w:rPr>
          <w:color w:val="002060"/>
          <w:sz w:val="20"/>
          <w:szCs w:val="20"/>
          <w:lang w:val="el-GR"/>
        </w:rPr>
        <w:t xml:space="preserve"> </w:t>
      </w:r>
      <w:r>
        <w:rPr>
          <w:color w:val="002060"/>
          <w:sz w:val="20"/>
          <w:szCs w:val="20"/>
        </w:rPr>
        <w:t>Technology</w:t>
      </w:r>
      <w:r w:rsidRPr="008B4E8E">
        <w:rPr>
          <w:color w:val="002060"/>
          <w:sz w:val="20"/>
          <w:szCs w:val="20"/>
          <w:lang w:val="el-GR"/>
        </w:rPr>
        <w:t xml:space="preserve"> όσο και στη νεοσύστατη μονάδα </w:t>
      </w:r>
      <w:r>
        <w:rPr>
          <w:color w:val="002060"/>
          <w:sz w:val="20"/>
          <w:szCs w:val="20"/>
        </w:rPr>
        <w:t>ICT</w:t>
      </w:r>
      <w:r w:rsidRPr="008B4E8E">
        <w:rPr>
          <w:color w:val="002060"/>
          <w:sz w:val="20"/>
          <w:szCs w:val="20"/>
          <w:lang w:val="el-GR"/>
        </w:rPr>
        <w:t xml:space="preserve">, </w:t>
      </w:r>
      <w:r>
        <w:rPr>
          <w:color w:val="002060"/>
          <w:sz w:val="20"/>
          <w:szCs w:val="20"/>
        </w:rPr>
        <w:t>Quento</w:t>
      </w:r>
      <w:r w:rsidRPr="008B4E8E">
        <w:rPr>
          <w:color w:val="002060"/>
          <w:sz w:val="20"/>
          <w:szCs w:val="20"/>
          <w:lang w:val="el-GR"/>
        </w:rPr>
        <w:t xml:space="preserve">. Αξιοποίησε την τεχνολογία του για να διευρύνει την εμβέλεια των πλατφορμών του, λανσάροντας το </w:t>
      </w:r>
      <w:r>
        <w:rPr>
          <w:color w:val="002060"/>
          <w:sz w:val="20"/>
          <w:szCs w:val="20"/>
        </w:rPr>
        <w:t>Uniko</w:t>
      </w:r>
      <w:r w:rsidRPr="008B4E8E">
        <w:rPr>
          <w:color w:val="002060"/>
          <w:sz w:val="20"/>
          <w:szCs w:val="20"/>
          <w:lang w:val="el-GR"/>
        </w:rPr>
        <w:t xml:space="preserve"> σε συνεργασία με την Εθνική Τράπεζα της Ελλάδος και το </w:t>
      </w:r>
      <w:r>
        <w:rPr>
          <w:color w:val="002060"/>
          <w:sz w:val="20"/>
          <w:szCs w:val="20"/>
        </w:rPr>
        <w:t>ODS</w:t>
      </w:r>
      <w:r w:rsidRPr="008B4E8E">
        <w:rPr>
          <w:color w:val="002060"/>
          <w:sz w:val="20"/>
          <w:szCs w:val="20"/>
          <w:lang w:val="el-GR"/>
        </w:rPr>
        <w:t xml:space="preserve"> σε συνεργασία με την Τράπεζα Πειραιώς. Παράλληλα, διεύρυνε ουσιαστικά τον τομέα Διαχείρισης Χαρτοφυλακίων στην Ελλάδα, όπου τα Υπό Διαχείριση Κεφάλαια (</w:t>
      </w:r>
      <w:r>
        <w:rPr>
          <w:color w:val="002060"/>
          <w:sz w:val="20"/>
          <w:szCs w:val="20"/>
        </w:rPr>
        <w:t>AUM</w:t>
      </w:r>
      <w:r w:rsidRPr="008B4E8E">
        <w:rPr>
          <w:color w:val="002060"/>
          <w:sz w:val="20"/>
          <w:szCs w:val="20"/>
          <w:lang w:val="el-GR"/>
        </w:rPr>
        <w:t xml:space="preserve">) υπερδιπλασιάστηκαν. Κάθε βασικός δείκτης επιβεβαιώνει ότι ο όμιλος </w:t>
      </w:r>
      <w:r>
        <w:rPr>
          <w:color w:val="002060"/>
          <w:sz w:val="20"/>
          <w:szCs w:val="20"/>
        </w:rPr>
        <w:t>Qualco</w:t>
      </w:r>
      <w:r w:rsidRPr="008B4E8E">
        <w:rPr>
          <w:color w:val="002060"/>
          <w:sz w:val="20"/>
          <w:szCs w:val="20"/>
          <w:lang w:val="el-GR"/>
        </w:rPr>
        <w:t xml:space="preserve"> κινείται εντός των στόχων που έχει θέσει και επιταχύνει.</w:t>
      </w:r>
    </w:p>
    <w:p w14:paraId="707C5055" w14:textId="77777777" w:rsidR="008B4E8E" w:rsidRPr="008B4E8E" w:rsidRDefault="008B4E8E" w:rsidP="008B4E8E">
      <w:pPr>
        <w:jc w:val="both"/>
        <w:rPr>
          <w:lang w:val="el-GR" w:eastAsia="el-GR"/>
        </w:rPr>
      </w:pPr>
      <w:r w:rsidRPr="008B4E8E">
        <w:rPr>
          <w:color w:val="002060"/>
          <w:sz w:val="20"/>
          <w:szCs w:val="20"/>
          <w:lang w:val="el-GR"/>
        </w:rPr>
        <w:t xml:space="preserve">Η Τεχνητή Νοημοσύνη (ΤΝ) αποτελεί ανταγωνιστικό πλεονέκτημα του οργανισμού και βρίσκεται στον πυρήνα του τρόπου λειτουργίας του. Βασισμένη σε 25 έτη ιδιόκτητων δεδομένων ρυθμιζόμενων ροών εργασίας, η στρατηγική του ομίλου στην ΤΝ έχει εξαρχής διττή κατεύθυνση. Εξωτερικά, την ενσωματώνει απευθείας στα προϊόντα, στα οποία βασίζονται οι πελάτες του. Εσωτερικά, εφαρμόζει την ίδια τεχνολογία στις δικές του λειτουργίες, αυξάνοντας την παραγωγικότητα σε ολόκληρο τον οργανισμό. Τα πρώιμα αποτελέσματα είναι ενθαρρυντικά και υποστηρίζουν τη μεσοπρόθεσμη πορεία της κερδοφορίας του. Ο όμιλος </w:t>
      </w:r>
      <w:r>
        <w:rPr>
          <w:color w:val="002060"/>
          <w:sz w:val="20"/>
          <w:szCs w:val="20"/>
        </w:rPr>
        <w:t>Qualco</w:t>
      </w:r>
      <w:r w:rsidRPr="008B4E8E">
        <w:rPr>
          <w:color w:val="002060"/>
          <w:sz w:val="20"/>
          <w:szCs w:val="20"/>
          <w:lang w:val="el-GR"/>
        </w:rPr>
        <w:t xml:space="preserve"> αντιλαμβάνεται την ΤΝ όχι ως απειλή για το επιχειρηματικό του μοντέλο, αλλά ως τον ισχυρότερο επιταχυντή της ανταγωνιστικής του θέσης.</w:t>
      </w:r>
    </w:p>
    <w:p w14:paraId="6C22CD9A" w14:textId="77777777" w:rsidR="008B4E8E" w:rsidRPr="008B4E8E" w:rsidRDefault="008B4E8E" w:rsidP="008B4E8E">
      <w:pPr>
        <w:jc w:val="both"/>
        <w:rPr>
          <w:lang w:val="el-GR" w:eastAsia="el-GR"/>
        </w:rPr>
      </w:pPr>
      <w:r w:rsidRPr="008B4E8E">
        <w:rPr>
          <w:color w:val="002060"/>
          <w:sz w:val="20"/>
          <w:szCs w:val="20"/>
          <w:lang w:val="el-GR"/>
        </w:rPr>
        <w:t xml:space="preserve">Τα αποτελέσματα αυτά αντικατοπτρίζουν την αφοσίωση ολόκληρου του οργανισμού και τη στρατηγική καθοδήγηση του Διοικητικού του Συμβουλίου. Προχωρώντας στο 2026, ο όμιλος </w:t>
      </w:r>
      <w:r>
        <w:rPr>
          <w:color w:val="002060"/>
          <w:sz w:val="20"/>
          <w:szCs w:val="20"/>
        </w:rPr>
        <w:t>Qualco</w:t>
      </w:r>
      <w:r w:rsidRPr="008B4E8E">
        <w:rPr>
          <w:color w:val="002060"/>
          <w:sz w:val="20"/>
          <w:szCs w:val="20"/>
          <w:lang w:val="el-GR"/>
        </w:rPr>
        <w:t xml:space="preserve"> παραμένει προσηλωμένος στην υλοποίηση του οδικού του χάρτη, διατηρώντας παράλληλα, την επιχειρησιακή πειθαρχία και τα πρότυπα διακυβέρνησης που έχουν καθορίσει την πρόοδό του έως σήμερα.</w:t>
      </w:r>
    </w:p>
    <w:p w14:paraId="0E368F8C" w14:textId="31E206C9" w:rsidR="00366F3F" w:rsidRDefault="008B4E8E" w:rsidP="008B4E8E">
      <w:pPr>
        <w:jc w:val="both"/>
        <w:rPr>
          <w:color w:val="002060"/>
          <w:sz w:val="20"/>
          <w:szCs w:val="20"/>
          <w:lang w:val="el-GR"/>
        </w:rPr>
      </w:pPr>
      <w:r w:rsidRPr="008B4E8E">
        <w:rPr>
          <w:color w:val="002060"/>
          <w:sz w:val="20"/>
          <w:szCs w:val="20"/>
          <w:lang w:val="el-GR"/>
        </w:rPr>
        <w:t>Η αποστολή του παραμένει αμετάβλητη: να δημιουργεί τεχνολογία που μετασχηματίζει το χρηματοπιστωτικό οικοσύστημα προς το καλύτερο. Προσβλέπει στη συνεχή συνεργασία με όλους τους ενδιαφερόμενους φορείς, οικοδομώντας σε αυτό το ισχυρό θεμέλιο και παρέχοντας μακροπρόθεσμη βιώσιμη αξία.</w:t>
      </w:r>
    </w:p>
    <w:p w14:paraId="472B0B0F" w14:textId="77777777" w:rsidR="00366F3F" w:rsidRDefault="00366F3F">
      <w:pPr>
        <w:rPr>
          <w:color w:val="002060"/>
          <w:sz w:val="20"/>
          <w:szCs w:val="20"/>
          <w:lang w:val="el-GR"/>
        </w:rPr>
      </w:pPr>
      <w:r>
        <w:rPr>
          <w:color w:val="002060"/>
          <w:sz w:val="20"/>
          <w:szCs w:val="20"/>
          <w:lang w:val="el-GR"/>
        </w:rPr>
        <w:br w:type="page"/>
      </w:r>
    </w:p>
    <w:p w14:paraId="5B965905" w14:textId="77777777" w:rsidR="008B4E8E" w:rsidRPr="008B4E8E" w:rsidRDefault="008B4E8E" w:rsidP="008B4E8E">
      <w:pPr>
        <w:jc w:val="both"/>
        <w:rPr>
          <w:lang w:val="el-GR" w:eastAsia="el-GR"/>
        </w:rPr>
      </w:pPr>
    </w:p>
    <w:p w14:paraId="5E2DB869" w14:textId="77777777" w:rsidR="008B4E8E" w:rsidRPr="008B4E8E" w:rsidRDefault="008B4E8E" w:rsidP="008B4E8E">
      <w:pPr>
        <w:jc w:val="both"/>
        <w:rPr>
          <w:color w:val="002060"/>
          <w:sz w:val="20"/>
          <w:szCs w:val="20"/>
          <w:lang w:val="el-G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8B4E8E" w:rsidRPr="00C73AAB" w14:paraId="18F34D1F" w14:textId="77777777" w:rsidTr="00BC68C2">
        <w:tc>
          <w:tcPr>
            <w:tcW w:w="4148" w:type="dxa"/>
          </w:tcPr>
          <w:p w14:paraId="1B088A16" w14:textId="77777777" w:rsidR="008B4E8E" w:rsidRDefault="008B4E8E" w:rsidP="00BC68C2">
            <w:pPr>
              <w:rPr>
                <w:lang w:eastAsia="el-GR"/>
              </w:rPr>
            </w:pPr>
            <w:r>
              <w:rPr>
                <w:rStyle w:val="Strong"/>
                <w:color w:val="002060"/>
                <w:sz w:val="19"/>
                <w:szCs w:val="19"/>
              </w:rPr>
              <w:t>Χρηματοοικονομικά Στοιχεία (Χρήση 2025)</w:t>
            </w:r>
          </w:p>
          <w:p w14:paraId="31A61DB9" w14:textId="77777777" w:rsidR="008B4E8E" w:rsidRPr="000B411E" w:rsidRDefault="008B4E8E" w:rsidP="008B4E8E">
            <w:pPr>
              <w:pStyle w:val="ListParagraph"/>
              <w:numPr>
                <w:ilvl w:val="0"/>
                <w:numId w:val="3"/>
              </w:numPr>
              <w:spacing w:line="240" w:lineRule="auto"/>
              <w:contextualSpacing w:val="0"/>
              <w:rPr>
                <w:sz w:val="19"/>
                <w:szCs w:val="19"/>
              </w:rPr>
            </w:pPr>
            <w:r w:rsidRPr="000B411E">
              <w:rPr>
                <w:b/>
                <w:bCs/>
                <w:sz w:val="19"/>
                <w:szCs w:val="19"/>
              </w:rPr>
              <w:t xml:space="preserve">Έσοδα: </w:t>
            </w:r>
            <w:r w:rsidRPr="000B411E">
              <w:rPr>
                <w:sz w:val="19"/>
                <w:szCs w:val="19"/>
              </w:rPr>
              <w:t>€216 εκ. (+17% σε ετήσια βάση), σε ευθυγράμμιση με τους στόχους ανάπτυξης περί του 15%</w:t>
            </w:r>
          </w:p>
          <w:p w14:paraId="4CCF10BB" w14:textId="77777777" w:rsidR="008B4E8E" w:rsidRPr="000B411E" w:rsidRDefault="008B4E8E" w:rsidP="008B4E8E">
            <w:pPr>
              <w:pStyle w:val="ListParagraph"/>
              <w:numPr>
                <w:ilvl w:val="0"/>
                <w:numId w:val="3"/>
              </w:numPr>
              <w:spacing w:line="240" w:lineRule="auto"/>
              <w:contextualSpacing w:val="0"/>
              <w:rPr>
                <w:sz w:val="19"/>
                <w:szCs w:val="19"/>
              </w:rPr>
            </w:pPr>
            <w:r w:rsidRPr="000B411E">
              <w:rPr>
                <w:b/>
                <w:bCs/>
                <w:sz w:val="19"/>
                <w:szCs w:val="19"/>
              </w:rPr>
              <w:t>Προσαρμοσμένο EBITDA</w:t>
            </w:r>
            <w:r w:rsidRPr="000B411E">
              <w:rPr>
                <w:sz w:val="19"/>
                <w:szCs w:val="19"/>
              </w:rPr>
              <w:t>: €43 εκ. (+12% σε ετήσια βάση)</w:t>
            </w:r>
          </w:p>
          <w:p w14:paraId="3EC1BD8F" w14:textId="77777777" w:rsidR="008B4E8E" w:rsidRPr="000B411E" w:rsidRDefault="008B4E8E" w:rsidP="008B4E8E">
            <w:pPr>
              <w:pStyle w:val="ListParagraph"/>
              <w:numPr>
                <w:ilvl w:val="0"/>
                <w:numId w:val="3"/>
              </w:numPr>
              <w:spacing w:line="240" w:lineRule="auto"/>
              <w:contextualSpacing w:val="0"/>
              <w:rPr>
                <w:b/>
                <w:bCs/>
                <w:sz w:val="19"/>
                <w:szCs w:val="19"/>
              </w:rPr>
            </w:pPr>
            <w:r w:rsidRPr="000B411E">
              <w:rPr>
                <w:b/>
                <w:bCs/>
                <w:sz w:val="19"/>
                <w:szCs w:val="19"/>
              </w:rPr>
              <w:t xml:space="preserve">Κέρδη </w:t>
            </w:r>
            <w:r>
              <w:rPr>
                <w:b/>
                <w:bCs/>
                <w:sz w:val="19"/>
                <w:szCs w:val="19"/>
              </w:rPr>
              <w:t>Π</w:t>
            </w:r>
            <w:r w:rsidRPr="000B411E">
              <w:rPr>
                <w:b/>
                <w:bCs/>
                <w:sz w:val="19"/>
                <w:szCs w:val="19"/>
              </w:rPr>
              <w:t xml:space="preserve">εριόδου: </w:t>
            </w:r>
            <w:r w:rsidRPr="000B411E">
              <w:rPr>
                <w:sz w:val="19"/>
                <w:szCs w:val="19"/>
              </w:rPr>
              <w:t>€10 εκ.</w:t>
            </w:r>
          </w:p>
          <w:p w14:paraId="2991F8CF" w14:textId="77777777" w:rsidR="008B4E8E" w:rsidRPr="000B411E" w:rsidRDefault="008B4E8E" w:rsidP="008B4E8E">
            <w:pPr>
              <w:pStyle w:val="ListParagraph"/>
              <w:numPr>
                <w:ilvl w:val="0"/>
                <w:numId w:val="3"/>
              </w:numPr>
              <w:spacing w:line="240" w:lineRule="auto"/>
              <w:contextualSpacing w:val="0"/>
              <w:rPr>
                <w:sz w:val="19"/>
                <w:szCs w:val="19"/>
              </w:rPr>
            </w:pPr>
            <w:r w:rsidRPr="000B411E">
              <w:rPr>
                <w:b/>
                <w:bCs/>
                <w:sz w:val="19"/>
                <w:szCs w:val="19"/>
              </w:rPr>
              <w:t xml:space="preserve">Περιθώριο Προσαρμοσμένου EBITDA: </w:t>
            </w:r>
            <w:r w:rsidRPr="000B411E">
              <w:rPr>
                <w:sz w:val="19"/>
                <w:szCs w:val="19"/>
              </w:rPr>
              <w:t>20%, σε εναρμόνιση με τη μεσοπρόθεσμη καθοδήγηση</w:t>
            </w:r>
          </w:p>
          <w:p w14:paraId="6002D937" w14:textId="77777777" w:rsidR="008B4E8E" w:rsidRPr="000B411E" w:rsidRDefault="008B4E8E" w:rsidP="008B4E8E">
            <w:pPr>
              <w:pStyle w:val="ListParagraph"/>
              <w:numPr>
                <w:ilvl w:val="0"/>
                <w:numId w:val="3"/>
              </w:numPr>
              <w:spacing w:line="240" w:lineRule="auto"/>
              <w:contextualSpacing w:val="0"/>
              <w:rPr>
                <w:b/>
                <w:bCs/>
                <w:sz w:val="19"/>
                <w:szCs w:val="19"/>
              </w:rPr>
            </w:pPr>
            <w:r w:rsidRPr="000B411E">
              <w:rPr>
                <w:b/>
                <w:bCs/>
                <w:sz w:val="19"/>
                <w:szCs w:val="19"/>
              </w:rPr>
              <w:t xml:space="preserve">Μετατροπή σε </w:t>
            </w:r>
            <w:r>
              <w:rPr>
                <w:b/>
                <w:bCs/>
                <w:sz w:val="19"/>
                <w:szCs w:val="19"/>
              </w:rPr>
              <w:t>Τ</w:t>
            </w:r>
            <w:r w:rsidRPr="000B411E">
              <w:rPr>
                <w:b/>
                <w:bCs/>
                <w:sz w:val="19"/>
                <w:szCs w:val="19"/>
              </w:rPr>
              <w:t xml:space="preserve">αμειακές </w:t>
            </w:r>
            <w:r>
              <w:rPr>
                <w:b/>
                <w:bCs/>
                <w:sz w:val="19"/>
                <w:szCs w:val="19"/>
              </w:rPr>
              <w:t>Ρ</w:t>
            </w:r>
            <w:r w:rsidRPr="000B411E">
              <w:rPr>
                <w:b/>
                <w:bCs/>
                <w:sz w:val="19"/>
                <w:szCs w:val="19"/>
              </w:rPr>
              <w:t xml:space="preserve">οές: </w:t>
            </w:r>
            <w:r w:rsidRPr="000B411E">
              <w:rPr>
                <w:sz w:val="19"/>
                <w:szCs w:val="19"/>
              </w:rPr>
              <w:t>48%</w:t>
            </w:r>
          </w:p>
          <w:p w14:paraId="6853FFC6" w14:textId="77777777" w:rsidR="008B4E8E" w:rsidRPr="00104F5E" w:rsidRDefault="008B4E8E" w:rsidP="008B4E8E">
            <w:pPr>
              <w:pStyle w:val="ListParagraph"/>
              <w:numPr>
                <w:ilvl w:val="0"/>
                <w:numId w:val="3"/>
              </w:numPr>
              <w:spacing w:line="240" w:lineRule="auto"/>
              <w:contextualSpacing w:val="0"/>
              <w:rPr>
                <w:lang w:eastAsia="el-GR"/>
              </w:rPr>
            </w:pPr>
            <w:r w:rsidRPr="000B411E">
              <w:rPr>
                <w:b/>
                <w:bCs/>
                <w:sz w:val="19"/>
                <w:szCs w:val="19"/>
              </w:rPr>
              <w:t xml:space="preserve">Μόχλευση: </w:t>
            </w:r>
            <w:r w:rsidRPr="000B411E">
              <w:rPr>
                <w:sz w:val="19"/>
                <w:szCs w:val="19"/>
              </w:rPr>
              <w:t>Καθαρός Δανεισμός (εξαιρ. Αντληθέντων Κεφαλαιών &amp; μισθώσεων) / Προσαρμοσμένο EBITDA στο 0.8x, σταθερός</w:t>
            </w:r>
          </w:p>
        </w:tc>
        <w:tc>
          <w:tcPr>
            <w:tcW w:w="4148" w:type="dxa"/>
          </w:tcPr>
          <w:p w14:paraId="7988453D" w14:textId="77777777" w:rsidR="008B4E8E" w:rsidRPr="00366F3F" w:rsidRDefault="008B4E8E" w:rsidP="00BC68C2">
            <w:pPr>
              <w:rPr>
                <w:rStyle w:val="Strong"/>
                <w:color w:val="002060"/>
                <w:sz w:val="19"/>
                <w:szCs w:val="19"/>
              </w:rPr>
            </w:pPr>
            <w:r w:rsidRPr="00366F3F">
              <w:rPr>
                <w:rStyle w:val="Strong"/>
                <w:color w:val="002060"/>
                <w:sz w:val="19"/>
                <w:szCs w:val="19"/>
              </w:rPr>
              <w:t>Στρατηγικές Προτεραιότητες</w:t>
            </w:r>
          </w:p>
          <w:p w14:paraId="7BD52E17" w14:textId="77777777" w:rsidR="008B4E8E" w:rsidRDefault="008B4E8E" w:rsidP="008B4E8E">
            <w:pPr>
              <w:pStyle w:val="ListParagraph"/>
              <w:numPr>
                <w:ilvl w:val="0"/>
                <w:numId w:val="3"/>
              </w:numPr>
              <w:spacing w:line="240" w:lineRule="auto"/>
              <w:contextualSpacing w:val="0"/>
              <w:rPr>
                <w:lang w:eastAsia="el-GR"/>
              </w:rPr>
            </w:pPr>
            <w:r>
              <w:rPr>
                <w:b/>
                <w:bCs/>
                <w:sz w:val="19"/>
                <w:szCs w:val="19"/>
              </w:rPr>
              <w:t>Ανάπτυξη</w:t>
            </w:r>
            <w:r>
              <w:rPr>
                <w:sz w:val="19"/>
                <w:szCs w:val="19"/>
              </w:rPr>
              <w:t>: Συνέχιση ανάπτυξης εσόδων περί του 15%  μέσω επέκτασης αγοράς και πελατολογίου</w:t>
            </w:r>
          </w:p>
          <w:p w14:paraId="3C562F27" w14:textId="77777777" w:rsidR="008B4E8E" w:rsidRDefault="008B4E8E" w:rsidP="008B4E8E">
            <w:pPr>
              <w:pStyle w:val="ListParagraph"/>
              <w:numPr>
                <w:ilvl w:val="0"/>
                <w:numId w:val="3"/>
              </w:numPr>
              <w:spacing w:line="240" w:lineRule="auto"/>
              <w:contextualSpacing w:val="0"/>
              <w:rPr>
                <w:lang w:eastAsia="el-GR"/>
              </w:rPr>
            </w:pPr>
            <w:r>
              <w:rPr>
                <w:b/>
                <w:bCs/>
                <w:sz w:val="19"/>
                <w:szCs w:val="19"/>
              </w:rPr>
              <w:t>Διεθνοποίηση</w:t>
            </w:r>
            <w:r>
              <w:rPr>
                <w:sz w:val="19"/>
                <w:szCs w:val="19"/>
              </w:rPr>
              <w:t>: Εστιασμένη διείσδυση σε αγορές EMEA με υψηλές προοπτικές</w:t>
            </w:r>
          </w:p>
          <w:p w14:paraId="515BBC51" w14:textId="77777777" w:rsidR="008B4E8E" w:rsidRDefault="008B4E8E" w:rsidP="008B4E8E">
            <w:pPr>
              <w:pStyle w:val="ListParagraph"/>
              <w:numPr>
                <w:ilvl w:val="0"/>
                <w:numId w:val="3"/>
              </w:numPr>
              <w:spacing w:line="240" w:lineRule="auto"/>
              <w:contextualSpacing w:val="0"/>
              <w:rPr>
                <w:lang w:eastAsia="el-GR"/>
              </w:rPr>
            </w:pPr>
            <w:r>
              <w:rPr>
                <w:b/>
                <w:bCs/>
                <w:sz w:val="19"/>
                <w:szCs w:val="19"/>
              </w:rPr>
              <w:t>Στρατηγική Εξαγορών &amp; Συγχωνεύσεων (M&amp;A)</w:t>
            </w:r>
            <w:r>
              <w:rPr>
                <w:sz w:val="19"/>
                <w:szCs w:val="19"/>
              </w:rPr>
              <w:t>: Στοχευμένες εξαγορές για διαφοροποίηση και ενίσχυση των προσφερόμενων λύσεων</w:t>
            </w:r>
          </w:p>
          <w:p w14:paraId="47543E66" w14:textId="77777777" w:rsidR="008B4E8E" w:rsidRDefault="008B4E8E" w:rsidP="008B4E8E">
            <w:pPr>
              <w:pStyle w:val="ListParagraph"/>
              <w:numPr>
                <w:ilvl w:val="0"/>
                <w:numId w:val="3"/>
              </w:numPr>
              <w:spacing w:line="240" w:lineRule="auto"/>
              <w:contextualSpacing w:val="0"/>
              <w:rPr>
                <w:lang w:eastAsia="el-GR"/>
              </w:rPr>
            </w:pPr>
            <w:r>
              <w:rPr>
                <w:b/>
                <w:bCs/>
                <w:sz w:val="19"/>
                <w:szCs w:val="19"/>
              </w:rPr>
              <w:t>Επιχειρησιακή Αριστεία</w:t>
            </w:r>
            <w:r>
              <w:rPr>
                <w:sz w:val="19"/>
                <w:szCs w:val="19"/>
              </w:rPr>
              <w:t>: Τεχνολογική καινοτομία, αναβαθμίσεις διακυβέρνησης και επένδυση στο ανθρώπινο δυναμικό</w:t>
            </w:r>
          </w:p>
          <w:p w14:paraId="20A653DB" w14:textId="77777777" w:rsidR="008B4E8E" w:rsidRPr="00366F3F" w:rsidRDefault="008B4E8E" w:rsidP="008B4E8E">
            <w:pPr>
              <w:pStyle w:val="ListParagraph"/>
              <w:numPr>
                <w:ilvl w:val="0"/>
                <w:numId w:val="3"/>
              </w:numPr>
              <w:spacing w:line="240" w:lineRule="auto"/>
              <w:contextualSpacing w:val="0"/>
              <w:rPr>
                <w:color w:val="002060"/>
                <w:lang w:eastAsia="el-GR"/>
              </w:rPr>
            </w:pPr>
            <w:r>
              <w:rPr>
                <w:b/>
                <w:bCs/>
                <w:sz w:val="19"/>
                <w:szCs w:val="19"/>
              </w:rPr>
              <w:t>Αξία για τα Ενδιαφερόμενα Μέρη</w:t>
            </w:r>
            <w:r>
              <w:rPr>
                <w:sz w:val="19"/>
                <w:szCs w:val="19"/>
              </w:rPr>
              <w:t>: Ενσωμάτωση ESG, μακροπρόθεσμες αποδόσεις για τους μετόχους και ευθυγράμμιση με την αποστολή</w:t>
            </w:r>
          </w:p>
          <w:p w14:paraId="05EABA22" w14:textId="77777777" w:rsidR="00366F3F" w:rsidRPr="00C73AAB" w:rsidRDefault="00366F3F" w:rsidP="00366F3F">
            <w:pPr>
              <w:rPr>
                <w:color w:val="002060"/>
                <w:lang w:eastAsia="el-GR"/>
              </w:rPr>
            </w:pPr>
          </w:p>
        </w:tc>
      </w:tr>
      <w:tr w:rsidR="008B4E8E" w:rsidRPr="00C73AAB" w14:paraId="7CAEA3D0" w14:textId="77777777" w:rsidTr="00BC68C2">
        <w:tc>
          <w:tcPr>
            <w:tcW w:w="4148" w:type="dxa"/>
          </w:tcPr>
          <w:p w14:paraId="48E25C87" w14:textId="77777777" w:rsidR="008B4E8E" w:rsidRPr="00366F3F" w:rsidRDefault="008B4E8E" w:rsidP="00BC68C2">
            <w:pPr>
              <w:rPr>
                <w:b/>
                <w:bCs/>
                <w:lang w:eastAsia="el-GR"/>
              </w:rPr>
            </w:pPr>
            <w:r w:rsidRPr="00366F3F">
              <w:rPr>
                <w:b/>
                <w:bCs/>
                <w:color w:val="002060"/>
                <w:sz w:val="19"/>
                <w:szCs w:val="19"/>
              </w:rPr>
              <w:t>Στρατηγικά Επιτεύγματα</w:t>
            </w:r>
          </w:p>
          <w:p w14:paraId="2F047EB6" w14:textId="77777777" w:rsidR="008B4E8E" w:rsidRDefault="008B4E8E" w:rsidP="008B4E8E">
            <w:pPr>
              <w:pStyle w:val="ListParagraph"/>
              <w:numPr>
                <w:ilvl w:val="0"/>
                <w:numId w:val="6"/>
              </w:numPr>
              <w:spacing w:line="240" w:lineRule="auto"/>
              <w:contextualSpacing w:val="0"/>
              <w:rPr>
                <w:lang w:eastAsia="el-GR"/>
              </w:rPr>
            </w:pPr>
            <w:r>
              <w:rPr>
                <w:b/>
                <w:bCs/>
                <w:sz w:val="19"/>
                <w:szCs w:val="19"/>
              </w:rPr>
              <w:t>Απόσχιση Q</w:t>
            </w:r>
            <w:r>
              <w:rPr>
                <w:b/>
                <w:bCs/>
                <w:sz w:val="19"/>
                <w:szCs w:val="19"/>
                <w:lang w:val="en-US"/>
              </w:rPr>
              <w:t>ualco</w:t>
            </w:r>
            <w:r w:rsidRPr="00DE4C9F">
              <w:rPr>
                <w:b/>
                <w:bCs/>
                <w:sz w:val="19"/>
                <w:szCs w:val="19"/>
              </w:rPr>
              <w:t xml:space="preserve"> </w:t>
            </w:r>
            <w:r>
              <w:rPr>
                <w:b/>
                <w:bCs/>
                <w:sz w:val="19"/>
                <w:szCs w:val="19"/>
                <w:lang w:val="en-US"/>
              </w:rPr>
              <w:t>Intelligent</w:t>
            </w:r>
            <w:r w:rsidRPr="00DE4C9F">
              <w:rPr>
                <w:b/>
                <w:bCs/>
                <w:sz w:val="19"/>
                <w:szCs w:val="19"/>
              </w:rPr>
              <w:t xml:space="preserve"> </w:t>
            </w:r>
            <w:r>
              <w:rPr>
                <w:b/>
                <w:bCs/>
                <w:sz w:val="19"/>
                <w:szCs w:val="19"/>
                <w:lang w:val="en-US"/>
              </w:rPr>
              <w:t>Finance</w:t>
            </w:r>
            <w:r>
              <w:rPr>
                <w:b/>
                <w:bCs/>
                <w:sz w:val="19"/>
                <w:szCs w:val="19"/>
              </w:rPr>
              <w:t>:</w:t>
            </w:r>
            <w:r>
              <w:rPr>
                <w:sz w:val="19"/>
                <w:szCs w:val="19"/>
              </w:rPr>
              <w:t xml:space="preserve"> Κοινοπραξία (JV) με τη Δημόσια Επιχείρηση Ηλεκτρισμού &amp; σύμβαση 10ετούς διάρκειας ύψους €600 εκ.</w:t>
            </w:r>
          </w:p>
          <w:p w14:paraId="5A7DD386" w14:textId="77777777" w:rsidR="008B4E8E" w:rsidRDefault="008B4E8E" w:rsidP="008B4E8E">
            <w:pPr>
              <w:pStyle w:val="ListParagraph"/>
              <w:numPr>
                <w:ilvl w:val="0"/>
                <w:numId w:val="6"/>
              </w:numPr>
              <w:spacing w:line="240" w:lineRule="auto"/>
              <w:contextualSpacing w:val="0"/>
              <w:rPr>
                <w:lang w:eastAsia="el-GR"/>
              </w:rPr>
            </w:pPr>
            <w:r>
              <w:rPr>
                <w:b/>
                <w:bCs/>
                <w:sz w:val="19"/>
                <w:szCs w:val="19"/>
              </w:rPr>
              <w:t>Ίδρυση Quento:</w:t>
            </w:r>
            <w:r>
              <w:rPr>
                <w:sz w:val="19"/>
                <w:szCs w:val="19"/>
              </w:rPr>
              <w:t xml:space="preserve"> Ο βραχίονας ICT εξασφάλισε σημαντικές συμβάσεις της ΕΕ &amp; επεκτάθηκε σε 3 χώρες εκτός Ελλάδας</w:t>
            </w:r>
          </w:p>
          <w:p w14:paraId="2828997E" w14:textId="77777777" w:rsidR="008B4E8E" w:rsidRDefault="008B4E8E" w:rsidP="008B4E8E">
            <w:pPr>
              <w:pStyle w:val="ListParagraph"/>
              <w:numPr>
                <w:ilvl w:val="0"/>
                <w:numId w:val="6"/>
              </w:numPr>
              <w:spacing w:line="240" w:lineRule="auto"/>
              <w:contextualSpacing w:val="0"/>
              <w:rPr>
                <w:lang w:eastAsia="el-GR"/>
              </w:rPr>
            </w:pPr>
            <w:r>
              <w:rPr>
                <w:b/>
                <w:bCs/>
                <w:sz w:val="19"/>
                <w:szCs w:val="19"/>
              </w:rPr>
              <w:t>Απόσχιση Q</w:t>
            </w:r>
            <w:r>
              <w:rPr>
                <w:b/>
                <w:bCs/>
                <w:sz w:val="19"/>
                <w:szCs w:val="19"/>
                <w:lang w:val="en-US"/>
              </w:rPr>
              <w:t>ualco</w:t>
            </w:r>
            <w:r w:rsidRPr="00DE4C9F">
              <w:rPr>
                <w:b/>
                <w:bCs/>
                <w:sz w:val="19"/>
                <w:szCs w:val="19"/>
              </w:rPr>
              <w:t xml:space="preserve"> </w:t>
            </w:r>
            <w:r>
              <w:rPr>
                <w:b/>
                <w:bCs/>
                <w:sz w:val="19"/>
                <w:szCs w:val="19"/>
                <w:lang w:val="en-US"/>
              </w:rPr>
              <w:t>Technology</w:t>
            </w:r>
            <w:r>
              <w:rPr>
                <w:b/>
                <w:bCs/>
                <w:sz w:val="19"/>
                <w:szCs w:val="19"/>
              </w:rPr>
              <w:t>:</w:t>
            </w:r>
            <w:r>
              <w:rPr>
                <w:sz w:val="19"/>
                <w:szCs w:val="19"/>
              </w:rPr>
              <w:t xml:space="preserve"> Επιτάχυνση ανάπτυξης και συνέργειες σε επίπεδο </w:t>
            </w:r>
            <w:r>
              <w:rPr>
                <w:sz w:val="19"/>
                <w:szCs w:val="19"/>
                <w:lang w:val="en-US"/>
              </w:rPr>
              <w:t>o</w:t>
            </w:r>
            <w:r>
              <w:rPr>
                <w:sz w:val="19"/>
                <w:szCs w:val="19"/>
              </w:rPr>
              <w:t>μίλου</w:t>
            </w:r>
          </w:p>
          <w:p w14:paraId="38953A22" w14:textId="77777777" w:rsidR="008B4E8E" w:rsidRPr="007107FD" w:rsidRDefault="008B4E8E" w:rsidP="008B4E8E">
            <w:pPr>
              <w:pStyle w:val="ListParagraph"/>
              <w:numPr>
                <w:ilvl w:val="0"/>
                <w:numId w:val="6"/>
              </w:numPr>
              <w:spacing w:line="240" w:lineRule="auto"/>
              <w:contextualSpacing w:val="0"/>
              <w:rPr>
                <w:lang w:val="en-US" w:eastAsia="el-GR"/>
              </w:rPr>
            </w:pPr>
            <w:r>
              <w:rPr>
                <w:b/>
                <w:bCs/>
                <w:sz w:val="19"/>
                <w:szCs w:val="19"/>
              </w:rPr>
              <w:t>Εξαγορές</w:t>
            </w:r>
            <w:r w:rsidRPr="007107FD">
              <w:rPr>
                <w:b/>
                <w:bCs/>
                <w:sz w:val="19"/>
                <w:szCs w:val="19"/>
                <w:lang w:val="en-US"/>
              </w:rPr>
              <w:t>:</w:t>
            </w:r>
            <w:r w:rsidRPr="007107FD">
              <w:rPr>
                <w:sz w:val="19"/>
                <w:szCs w:val="19"/>
                <w:lang w:val="en-US"/>
              </w:rPr>
              <w:t xml:space="preserve"> </w:t>
            </w:r>
            <w:r w:rsidRPr="00D909EF">
              <w:rPr>
                <w:sz w:val="19"/>
                <w:szCs w:val="19"/>
                <w:lang w:val="en-US"/>
              </w:rPr>
              <w:t>Empedus</w:t>
            </w:r>
            <w:r w:rsidRPr="007107FD">
              <w:rPr>
                <w:sz w:val="19"/>
                <w:szCs w:val="19"/>
                <w:lang w:val="en-US"/>
              </w:rPr>
              <w:t xml:space="preserve"> (100%), </w:t>
            </w:r>
            <w:r w:rsidRPr="00D909EF">
              <w:rPr>
                <w:sz w:val="19"/>
                <w:szCs w:val="19"/>
                <w:lang w:val="en-US"/>
              </w:rPr>
              <w:t>Cenobe</w:t>
            </w:r>
            <w:r w:rsidRPr="007107FD">
              <w:rPr>
                <w:sz w:val="19"/>
                <w:szCs w:val="19"/>
                <w:lang w:val="en-US"/>
              </w:rPr>
              <w:t xml:space="preserve"> (50.01%), </w:t>
            </w:r>
            <w:r w:rsidRPr="00D909EF">
              <w:rPr>
                <w:sz w:val="19"/>
                <w:szCs w:val="19"/>
                <w:lang w:val="en-US"/>
              </w:rPr>
              <w:t>Indice</w:t>
            </w:r>
            <w:r w:rsidRPr="007107FD">
              <w:rPr>
                <w:sz w:val="19"/>
                <w:szCs w:val="19"/>
                <w:lang w:val="en-US"/>
              </w:rPr>
              <w:t xml:space="preserve"> (</w:t>
            </w:r>
            <w:r>
              <w:rPr>
                <w:sz w:val="19"/>
                <w:szCs w:val="19"/>
              </w:rPr>
              <w:t>έως</w:t>
            </w:r>
            <w:r w:rsidRPr="007107FD">
              <w:rPr>
                <w:sz w:val="19"/>
                <w:szCs w:val="19"/>
                <w:lang w:val="en-US"/>
              </w:rPr>
              <w:t xml:space="preserve"> 50.1%), </w:t>
            </w:r>
            <w:r w:rsidRPr="00D909EF">
              <w:rPr>
                <w:sz w:val="19"/>
                <w:szCs w:val="19"/>
                <w:lang w:val="en-US"/>
              </w:rPr>
              <w:t>DD</w:t>
            </w:r>
            <w:r w:rsidRPr="007107FD">
              <w:rPr>
                <w:sz w:val="19"/>
                <w:szCs w:val="19"/>
                <w:lang w:val="en-US"/>
              </w:rPr>
              <w:t xml:space="preserve"> </w:t>
            </w:r>
            <w:r w:rsidRPr="00D909EF">
              <w:rPr>
                <w:sz w:val="19"/>
                <w:szCs w:val="19"/>
                <w:lang w:val="en-US"/>
              </w:rPr>
              <w:t>Synergy</w:t>
            </w:r>
            <w:r w:rsidRPr="007107FD">
              <w:rPr>
                <w:sz w:val="19"/>
                <w:szCs w:val="19"/>
                <w:lang w:val="en-US"/>
              </w:rPr>
              <w:t xml:space="preserve"> (</w:t>
            </w:r>
            <w:r>
              <w:rPr>
                <w:sz w:val="19"/>
                <w:szCs w:val="19"/>
              </w:rPr>
              <w:t>έως</w:t>
            </w:r>
            <w:r w:rsidRPr="007107FD">
              <w:rPr>
                <w:sz w:val="19"/>
                <w:szCs w:val="19"/>
                <w:lang w:val="en-US"/>
              </w:rPr>
              <w:t xml:space="preserve"> 100%)</w:t>
            </w:r>
          </w:p>
          <w:p w14:paraId="4FE40F81" w14:textId="77777777" w:rsidR="008B4E8E" w:rsidRPr="00B2496D" w:rsidRDefault="008B4E8E" w:rsidP="008B4E8E">
            <w:pPr>
              <w:pStyle w:val="ListParagraph"/>
              <w:numPr>
                <w:ilvl w:val="0"/>
                <w:numId w:val="6"/>
              </w:numPr>
              <w:spacing w:line="240" w:lineRule="auto"/>
              <w:contextualSpacing w:val="0"/>
              <w:rPr>
                <w:lang w:eastAsia="el-GR"/>
              </w:rPr>
            </w:pPr>
            <w:r>
              <w:rPr>
                <w:b/>
                <w:bCs/>
                <w:sz w:val="19"/>
                <w:szCs w:val="19"/>
              </w:rPr>
              <w:t>Ανάπτυξη Πελατών:</w:t>
            </w:r>
            <w:r>
              <w:rPr>
                <w:sz w:val="19"/>
                <w:szCs w:val="19"/>
              </w:rPr>
              <w:t xml:space="preserve"> 13 νέοι σημαντικοί πελάτες, συμπερ. έξι ξένες τράπεζες· σε 7 χώρες εκτός Ελλάδας</w:t>
            </w:r>
          </w:p>
        </w:tc>
        <w:tc>
          <w:tcPr>
            <w:tcW w:w="4148" w:type="dxa"/>
          </w:tcPr>
          <w:p w14:paraId="7B33A9F1" w14:textId="77777777" w:rsidR="008B4E8E" w:rsidRPr="00366F3F" w:rsidRDefault="008B4E8E" w:rsidP="00BC68C2">
            <w:pPr>
              <w:rPr>
                <w:b/>
                <w:bCs/>
                <w:lang w:eastAsia="el-GR"/>
              </w:rPr>
            </w:pPr>
            <w:r w:rsidRPr="00366F3F">
              <w:rPr>
                <w:b/>
                <w:bCs/>
                <w:color w:val="002060"/>
                <w:sz w:val="19"/>
                <w:szCs w:val="19"/>
              </w:rPr>
              <w:t xml:space="preserve">Ενημέρωση για τη Μετοχή </w:t>
            </w:r>
          </w:p>
          <w:p w14:paraId="080B79D7" w14:textId="77777777" w:rsidR="008B4E8E" w:rsidRDefault="008B4E8E" w:rsidP="008B4E8E">
            <w:pPr>
              <w:pStyle w:val="ListParagraph"/>
              <w:numPr>
                <w:ilvl w:val="0"/>
                <w:numId w:val="4"/>
              </w:numPr>
              <w:spacing w:line="240" w:lineRule="auto"/>
              <w:contextualSpacing w:val="0"/>
              <w:rPr>
                <w:lang w:eastAsia="el-GR"/>
              </w:rPr>
            </w:pPr>
            <w:r>
              <w:rPr>
                <w:b/>
                <w:bCs/>
                <w:sz w:val="19"/>
                <w:szCs w:val="19"/>
              </w:rPr>
              <w:t>Επιτυχία IPO</w:t>
            </w:r>
            <w:r>
              <w:rPr>
                <w:sz w:val="19"/>
                <w:szCs w:val="19"/>
              </w:rPr>
              <w:t>: Υπερκάλυψη κατά 5x τον Μάιο</w:t>
            </w:r>
          </w:p>
          <w:p w14:paraId="3B4DE72D" w14:textId="77777777" w:rsidR="008B4E8E" w:rsidRDefault="008B4E8E" w:rsidP="008B4E8E">
            <w:pPr>
              <w:pStyle w:val="ListParagraph"/>
              <w:numPr>
                <w:ilvl w:val="0"/>
                <w:numId w:val="4"/>
              </w:numPr>
              <w:spacing w:line="240" w:lineRule="auto"/>
              <w:contextualSpacing w:val="0"/>
              <w:rPr>
                <w:lang w:eastAsia="el-GR"/>
              </w:rPr>
            </w:pPr>
            <w:r>
              <w:rPr>
                <w:b/>
                <w:bCs/>
                <w:sz w:val="19"/>
                <w:szCs w:val="19"/>
              </w:rPr>
              <w:t>Θέση στην Αγορά</w:t>
            </w:r>
            <w:r>
              <w:rPr>
                <w:sz w:val="19"/>
                <w:szCs w:val="19"/>
              </w:rPr>
              <w:t>: Πλέον η μεγαλύτερη ελληνική εταιρεία λογισμικού &amp; τεχνολογίας βάσει κεφαλαιοποίησης</w:t>
            </w:r>
          </w:p>
          <w:p w14:paraId="36AA7A6C" w14:textId="77777777" w:rsidR="008B4E8E" w:rsidRDefault="008B4E8E" w:rsidP="008B4E8E">
            <w:pPr>
              <w:pStyle w:val="ListParagraph"/>
              <w:numPr>
                <w:ilvl w:val="0"/>
                <w:numId w:val="4"/>
              </w:numPr>
              <w:spacing w:line="240" w:lineRule="auto"/>
              <w:contextualSpacing w:val="0"/>
              <w:rPr>
                <w:lang w:eastAsia="el-GR"/>
              </w:rPr>
            </w:pPr>
            <w:r>
              <w:rPr>
                <w:b/>
                <w:bCs/>
                <w:sz w:val="19"/>
                <w:szCs w:val="19"/>
              </w:rPr>
              <w:t>Συμμετοχή σε Δείκτες</w:t>
            </w:r>
            <w:r>
              <w:rPr>
                <w:sz w:val="19"/>
                <w:szCs w:val="19"/>
              </w:rPr>
              <w:t>: Εντάχθηκε στον Γενικό Δείκτη ATHEX, στον FTSE/ATHEX Mid-Cap και στον FTSE Emerging Europe Small Cap Index</w:t>
            </w:r>
          </w:p>
          <w:p w14:paraId="4527493E" w14:textId="77777777" w:rsidR="008B4E8E" w:rsidRDefault="008B4E8E" w:rsidP="008B4E8E">
            <w:pPr>
              <w:pStyle w:val="ListParagraph"/>
              <w:numPr>
                <w:ilvl w:val="0"/>
                <w:numId w:val="4"/>
              </w:numPr>
              <w:spacing w:line="240" w:lineRule="auto"/>
              <w:contextualSpacing w:val="0"/>
              <w:rPr>
                <w:lang w:eastAsia="el-GR"/>
              </w:rPr>
            </w:pPr>
            <w:r>
              <w:rPr>
                <w:b/>
                <w:bCs/>
                <w:sz w:val="19"/>
                <w:szCs w:val="19"/>
              </w:rPr>
              <w:t>Βάση Επενδυτών</w:t>
            </w:r>
            <w:r>
              <w:rPr>
                <w:sz w:val="19"/>
                <w:szCs w:val="19"/>
              </w:rPr>
              <w:t>: Διαφοροποιημένο μίγμα ελληνικών και διεθνών θεσμικών επενδυτών</w:t>
            </w:r>
          </w:p>
          <w:p w14:paraId="0F31985B" w14:textId="77777777" w:rsidR="008B4E8E" w:rsidRPr="00E13F94" w:rsidRDefault="008B4E8E" w:rsidP="008B4E8E">
            <w:pPr>
              <w:pStyle w:val="ListParagraph"/>
              <w:numPr>
                <w:ilvl w:val="0"/>
                <w:numId w:val="4"/>
              </w:numPr>
              <w:spacing w:line="240" w:lineRule="auto"/>
              <w:contextualSpacing w:val="0"/>
              <w:rPr>
                <w:lang w:eastAsia="el-GR"/>
              </w:rPr>
            </w:pPr>
            <w:r w:rsidRPr="001D0805">
              <w:rPr>
                <w:b/>
                <w:bCs/>
                <w:sz w:val="19"/>
                <w:szCs w:val="19"/>
              </w:rPr>
              <w:t xml:space="preserve">Κάλυψη από 4 </w:t>
            </w:r>
            <w:r>
              <w:rPr>
                <w:b/>
                <w:bCs/>
                <w:sz w:val="19"/>
                <w:szCs w:val="19"/>
              </w:rPr>
              <w:t>Α</w:t>
            </w:r>
            <w:r w:rsidRPr="001D0805">
              <w:rPr>
                <w:b/>
                <w:bCs/>
                <w:sz w:val="19"/>
                <w:szCs w:val="19"/>
              </w:rPr>
              <w:t>ναλυτές</w:t>
            </w:r>
            <w:r>
              <w:rPr>
                <w:sz w:val="19"/>
                <w:szCs w:val="19"/>
              </w:rPr>
              <w:t>: 3 αξιολογήσεις «Αγορά» έναντι 1 «Διακράτηση» &amp; συλλογική τιμή-στόχος €6.90 για 12 μήνες</w:t>
            </w:r>
          </w:p>
        </w:tc>
      </w:tr>
    </w:tbl>
    <w:p w14:paraId="52CF4AB6" w14:textId="77777777" w:rsidR="008B4E8E" w:rsidRPr="008B4E8E" w:rsidRDefault="008B4E8E" w:rsidP="008B4E8E">
      <w:pPr>
        <w:rPr>
          <w:sz w:val="20"/>
          <w:szCs w:val="20"/>
          <w:lang w:val="el-GR"/>
        </w:rPr>
      </w:pPr>
    </w:p>
    <w:p w14:paraId="75721489" w14:textId="77777777" w:rsidR="008B4E8E" w:rsidRPr="008B4E8E" w:rsidRDefault="008B4E8E" w:rsidP="008B4E8E">
      <w:pPr>
        <w:rPr>
          <w:sz w:val="20"/>
          <w:szCs w:val="20"/>
          <w:lang w:val="el-GR"/>
        </w:rPr>
      </w:pPr>
    </w:p>
    <w:p w14:paraId="348AC59B" w14:textId="77777777" w:rsidR="008B4E8E" w:rsidRPr="008B4E8E" w:rsidRDefault="008B4E8E" w:rsidP="008B4E8E">
      <w:pPr>
        <w:rPr>
          <w:sz w:val="20"/>
          <w:szCs w:val="20"/>
          <w:lang w:val="el-GR"/>
        </w:rPr>
      </w:pPr>
    </w:p>
    <w:p w14:paraId="4ACB8C45" w14:textId="77777777" w:rsidR="008B4E8E" w:rsidRPr="008B4E8E" w:rsidRDefault="008B4E8E" w:rsidP="008B4E8E">
      <w:pPr>
        <w:rPr>
          <w:sz w:val="20"/>
          <w:szCs w:val="20"/>
          <w:lang w:val="el-GR"/>
        </w:rPr>
      </w:pPr>
    </w:p>
    <w:p w14:paraId="7DD11F69" w14:textId="77777777" w:rsidR="008B4E8E" w:rsidRPr="008B4E8E" w:rsidRDefault="008B4E8E" w:rsidP="008B4E8E">
      <w:pPr>
        <w:rPr>
          <w:sz w:val="20"/>
          <w:szCs w:val="20"/>
          <w:lang w:val="el-GR"/>
        </w:rPr>
      </w:pPr>
    </w:p>
    <w:p w14:paraId="5AAEF202" w14:textId="77777777" w:rsidR="008B4E8E" w:rsidRPr="008B4E8E" w:rsidRDefault="008B4E8E" w:rsidP="008B4E8E">
      <w:pPr>
        <w:rPr>
          <w:sz w:val="20"/>
          <w:szCs w:val="20"/>
          <w:lang w:val="el-GR"/>
        </w:rPr>
      </w:pPr>
    </w:p>
    <w:p w14:paraId="0487221A" w14:textId="77777777" w:rsidR="008B4E8E" w:rsidRPr="008B4E8E" w:rsidRDefault="008B4E8E" w:rsidP="008B4E8E">
      <w:pPr>
        <w:rPr>
          <w:sz w:val="20"/>
          <w:szCs w:val="20"/>
          <w:lang w:val="el-GR"/>
        </w:rPr>
      </w:pPr>
    </w:p>
    <w:p w14:paraId="4F33FE16" w14:textId="77777777" w:rsidR="008B4E8E" w:rsidRPr="008B4E8E" w:rsidRDefault="008B4E8E" w:rsidP="008B4E8E">
      <w:pPr>
        <w:rPr>
          <w:sz w:val="20"/>
          <w:szCs w:val="20"/>
          <w:lang w:val="el-GR"/>
        </w:rPr>
      </w:pP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145"/>
        <w:gridCol w:w="1305"/>
        <w:gridCol w:w="1104"/>
        <w:gridCol w:w="1104"/>
        <w:gridCol w:w="2706"/>
      </w:tblGrid>
      <w:tr w:rsidR="008B4E8E" w:rsidRPr="00CB7615" w14:paraId="534C742E" w14:textId="77777777" w:rsidTr="00366F3F">
        <w:trPr>
          <w:trHeight w:val="553"/>
        </w:trPr>
        <w:tc>
          <w:tcPr>
            <w:tcW w:w="2145" w:type="dxa"/>
            <w:tcMar>
              <w:top w:w="15" w:type="dxa"/>
              <w:left w:w="15" w:type="dxa"/>
              <w:bottom w:w="0" w:type="dxa"/>
              <w:right w:w="15" w:type="dxa"/>
            </w:tcMar>
            <w:vAlign w:val="center"/>
            <w:hideMark/>
          </w:tcPr>
          <w:p w14:paraId="18A76624" w14:textId="77777777" w:rsidR="008B4E8E" w:rsidRPr="008B4E8E" w:rsidRDefault="008B4E8E" w:rsidP="00BC68C2">
            <w:pPr>
              <w:rPr>
                <w:sz w:val="20"/>
                <w:szCs w:val="20"/>
                <w:lang w:val="el-GR"/>
              </w:rPr>
            </w:pPr>
          </w:p>
        </w:tc>
        <w:tc>
          <w:tcPr>
            <w:tcW w:w="1305" w:type="dxa"/>
            <w:tcMar>
              <w:top w:w="15" w:type="dxa"/>
              <w:left w:w="15" w:type="dxa"/>
              <w:bottom w:w="0" w:type="dxa"/>
              <w:right w:w="15" w:type="dxa"/>
            </w:tcMar>
            <w:vAlign w:val="center"/>
            <w:hideMark/>
          </w:tcPr>
          <w:p w14:paraId="690625E1" w14:textId="77777777" w:rsidR="008B4E8E" w:rsidRPr="00CB7615" w:rsidRDefault="008B4E8E" w:rsidP="00BC68C2">
            <w:pPr>
              <w:pStyle w:val="NormalWeb"/>
              <w:spacing w:before="0" w:beforeAutospacing="0" w:after="0" w:afterAutospacing="0"/>
              <w:jc w:val="center"/>
              <w:textAlignment w:val="center"/>
              <w:rPr>
                <w:rFonts w:asciiTheme="minorHAnsi" w:hAnsiTheme="minorHAnsi" w:cs="Arial"/>
                <w:sz w:val="20"/>
                <w:szCs w:val="20"/>
              </w:rPr>
            </w:pPr>
            <w:r w:rsidRPr="00CB7615">
              <w:rPr>
                <w:rFonts w:asciiTheme="minorHAnsi" w:hAnsiTheme="minorHAnsi" w:cs="Arial"/>
                <w:b/>
                <w:bCs/>
                <w:color w:val="23304D"/>
                <w:kern w:val="24"/>
                <w:sz w:val="20"/>
                <w:szCs w:val="20"/>
                <w:lang w:val="pt-BR"/>
              </w:rPr>
              <w:t>FY 2024</w:t>
            </w:r>
          </w:p>
        </w:tc>
        <w:tc>
          <w:tcPr>
            <w:tcW w:w="1104" w:type="dxa"/>
            <w:vAlign w:val="center"/>
          </w:tcPr>
          <w:p w14:paraId="2BE8086C" w14:textId="77777777" w:rsidR="008B4E8E" w:rsidRPr="00CB7615" w:rsidRDefault="008B4E8E" w:rsidP="00BC68C2">
            <w:pPr>
              <w:pStyle w:val="NormalWeb"/>
              <w:spacing w:before="0" w:beforeAutospacing="0" w:after="0" w:afterAutospacing="0"/>
              <w:jc w:val="center"/>
              <w:textAlignment w:val="center"/>
              <w:rPr>
                <w:rFonts w:asciiTheme="minorHAnsi" w:hAnsiTheme="minorHAnsi" w:cs="Arial"/>
                <w:b/>
                <w:bCs/>
                <w:color w:val="23304D"/>
                <w:kern w:val="24"/>
                <w:sz w:val="20"/>
                <w:szCs w:val="20"/>
                <w:lang w:val="pt-BR"/>
              </w:rPr>
            </w:pPr>
            <w:r>
              <w:rPr>
                <w:rFonts w:asciiTheme="minorHAnsi" w:hAnsiTheme="minorHAnsi" w:cs="Arial"/>
                <w:b/>
                <w:bCs/>
                <w:color w:val="23304D"/>
                <w:kern w:val="24"/>
                <w:sz w:val="20"/>
                <w:szCs w:val="20"/>
                <w:lang w:val="pt-BR"/>
              </w:rPr>
              <w:t>FY</w:t>
            </w:r>
            <w:r w:rsidRPr="00CB7615">
              <w:rPr>
                <w:rFonts w:asciiTheme="minorHAnsi" w:hAnsiTheme="minorHAnsi" w:cs="Arial"/>
                <w:b/>
                <w:bCs/>
                <w:color w:val="23304D"/>
                <w:kern w:val="24"/>
                <w:sz w:val="20"/>
                <w:szCs w:val="20"/>
                <w:lang w:val="pt-BR"/>
              </w:rPr>
              <w:t xml:space="preserve"> 2025</w:t>
            </w:r>
          </w:p>
        </w:tc>
        <w:tc>
          <w:tcPr>
            <w:tcW w:w="1104" w:type="dxa"/>
            <w:tcMar>
              <w:top w:w="15" w:type="dxa"/>
              <w:left w:w="15" w:type="dxa"/>
              <w:bottom w:w="0" w:type="dxa"/>
              <w:right w:w="15" w:type="dxa"/>
            </w:tcMar>
            <w:vAlign w:val="center"/>
            <w:hideMark/>
          </w:tcPr>
          <w:p w14:paraId="7F97EF59" w14:textId="77777777" w:rsidR="008B4E8E" w:rsidRPr="00CB7615" w:rsidRDefault="008B4E8E" w:rsidP="00BC68C2">
            <w:pPr>
              <w:pStyle w:val="NormalWeb"/>
              <w:spacing w:before="0" w:beforeAutospacing="0" w:after="0" w:afterAutospacing="0"/>
              <w:jc w:val="center"/>
              <w:textAlignment w:val="center"/>
              <w:rPr>
                <w:rFonts w:asciiTheme="minorHAnsi" w:hAnsiTheme="minorHAnsi" w:cs="Arial"/>
                <w:sz w:val="20"/>
                <w:szCs w:val="20"/>
              </w:rPr>
            </w:pPr>
            <w:r w:rsidRPr="00CB7615">
              <w:rPr>
                <w:rFonts w:asciiTheme="minorHAnsi" w:hAnsiTheme="minorHAnsi" w:cs="Arial"/>
                <w:b/>
                <w:bCs/>
                <w:color w:val="23304D"/>
                <w:kern w:val="24"/>
                <w:sz w:val="20"/>
                <w:szCs w:val="20"/>
                <w:lang w:val="pt-BR"/>
              </w:rPr>
              <w:t>YoY [%]</w:t>
            </w:r>
          </w:p>
        </w:tc>
        <w:tc>
          <w:tcPr>
            <w:tcW w:w="2706" w:type="dxa"/>
            <w:tcMar>
              <w:top w:w="15" w:type="dxa"/>
              <w:left w:w="15" w:type="dxa"/>
              <w:bottom w:w="0" w:type="dxa"/>
              <w:right w:w="15" w:type="dxa"/>
            </w:tcMar>
            <w:vAlign w:val="center"/>
            <w:hideMark/>
          </w:tcPr>
          <w:p w14:paraId="02C61A8E" w14:textId="77777777" w:rsidR="008B4E8E" w:rsidRDefault="008B4E8E" w:rsidP="00BC68C2">
            <w:pPr>
              <w:spacing w:after="0"/>
              <w:jc w:val="center"/>
              <w:textAlignment w:val="center"/>
              <w:rPr>
                <w:lang w:eastAsia="el-GR"/>
              </w:rPr>
            </w:pPr>
            <w:r>
              <w:rPr>
                <w:b/>
                <w:bCs/>
                <w:color w:val="23304D"/>
                <w:sz w:val="20"/>
                <w:szCs w:val="20"/>
              </w:rPr>
              <w:t>Μεσοπρόθεσμη καθοδήγηση IPO</w:t>
            </w:r>
          </w:p>
          <w:p w14:paraId="04F55863" w14:textId="77777777" w:rsidR="008B4E8E" w:rsidRPr="00CB7615" w:rsidRDefault="008B4E8E" w:rsidP="00BC68C2">
            <w:pPr>
              <w:pStyle w:val="NormalWeb"/>
              <w:spacing w:before="0" w:beforeAutospacing="0" w:after="0" w:afterAutospacing="0"/>
              <w:jc w:val="center"/>
              <w:textAlignment w:val="center"/>
              <w:rPr>
                <w:rFonts w:asciiTheme="minorHAnsi" w:hAnsiTheme="minorHAnsi" w:cs="Arial"/>
                <w:sz w:val="20"/>
                <w:szCs w:val="20"/>
              </w:rPr>
            </w:pPr>
          </w:p>
        </w:tc>
      </w:tr>
      <w:tr w:rsidR="008B4E8E" w:rsidRPr="00C73AAB" w14:paraId="51B043FE" w14:textId="77777777" w:rsidTr="00366F3F">
        <w:trPr>
          <w:trHeight w:val="316"/>
        </w:trPr>
        <w:tc>
          <w:tcPr>
            <w:tcW w:w="2145" w:type="dxa"/>
            <w:tcMar>
              <w:top w:w="15" w:type="dxa"/>
              <w:left w:w="15" w:type="dxa"/>
              <w:bottom w:w="0" w:type="dxa"/>
              <w:right w:w="15" w:type="dxa"/>
            </w:tcMar>
            <w:vAlign w:val="center"/>
            <w:hideMark/>
          </w:tcPr>
          <w:p w14:paraId="3711EB9C" w14:textId="77777777" w:rsidR="008B4E8E" w:rsidRDefault="008B4E8E" w:rsidP="00BC68C2">
            <w:pPr>
              <w:spacing w:after="0"/>
              <w:textAlignment w:val="bottom"/>
              <w:rPr>
                <w:lang w:eastAsia="el-GR"/>
              </w:rPr>
            </w:pPr>
            <w:r>
              <w:rPr>
                <w:b/>
                <w:bCs/>
                <w:color w:val="23304D"/>
                <w:sz w:val="20"/>
                <w:szCs w:val="20"/>
              </w:rPr>
              <w:t>Έσοδα</w:t>
            </w:r>
          </w:p>
          <w:p w14:paraId="4588813C" w14:textId="77777777" w:rsidR="008B4E8E" w:rsidRPr="00CB7615" w:rsidRDefault="008B4E8E" w:rsidP="00BC68C2">
            <w:pPr>
              <w:pStyle w:val="NormalWeb"/>
              <w:spacing w:before="0" w:beforeAutospacing="0" w:after="0" w:afterAutospacing="0"/>
              <w:textAlignment w:val="bottom"/>
              <w:rPr>
                <w:rFonts w:asciiTheme="minorHAnsi" w:hAnsiTheme="minorHAnsi" w:cs="Arial"/>
                <w:sz w:val="20"/>
                <w:szCs w:val="20"/>
              </w:rPr>
            </w:pPr>
          </w:p>
        </w:tc>
        <w:tc>
          <w:tcPr>
            <w:tcW w:w="1305" w:type="dxa"/>
            <w:tcMar>
              <w:top w:w="15" w:type="dxa"/>
              <w:left w:w="15" w:type="dxa"/>
              <w:bottom w:w="0" w:type="dxa"/>
              <w:right w:w="15" w:type="dxa"/>
            </w:tcMar>
            <w:vAlign w:val="center"/>
            <w:hideMark/>
          </w:tcPr>
          <w:p w14:paraId="20D2B22A" w14:textId="77777777" w:rsidR="008B4E8E" w:rsidRPr="001D0805" w:rsidRDefault="008B4E8E" w:rsidP="00BC68C2">
            <w:pPr>
              <w:pStyle w:val="NormalWeb"/>
              <w:spacing w:before="0" w:beforeAutospacing="0" w:after="0" w:afterAutospacing="0"/>
              <w:jc w:val="center"/>
              <w:textAlignment w:val="center"/>
              <w:rPr>
                <w:rFonts w:asciiTheme="minorHAnsi" w:hAnsiTheme="minorHAnsi" w:cs="Arial"/>
                <w:sz w:val="20"/>
                <w:szCs w:val="20"/>
              </w:rPr>
            </w:pPr>
            <w:r w:rsidRPr="007E2B2B">
              <w:rPr>
                <w:rFonts w:asciiTheme="minorHAnsi" w:hAnsiTheme="minorHAnsi" w:cs="Arial"/>
                <w:color w:val="23304D"/>
                <w:kern w:val="24"/>
                <w:sz w:val="20"/>
                <w:szCs w:val="20"/>
                <w:lang w:val="pt-BR"/>
              </w:rPr>
              <w:t xml:space="preserve">€184 </w:t>
            </w:r>
            <w:r>
              <w:rPr>
                <w:rFonts w:asciiTheme="minorHAnsi" w:hAnsiTheme="minorHAnsi" w:cs="Arial"/>
                <w:color w:val="23304D"/>
                <w:kern w:val="24"/>
                <w:sz w:val="20"/>
                <w:szCs w:val="20"/>
              </w:rPr>
              <w:t>εκατ.</w:t>
            </w:r>
          </w:p>
        </w:tc>
        <w:tc>
          <w:tcPr>
            <w:tcW w:w="1104" w:type="dxa"/>
            <w:vAlign w:val="center"/>
          </w:tcPr>
          <w:p w14:paraId="4E09C727" w14:textId="77777777" w:rsidR="008B4E8E" w:rsidRPr="0091203C" w:rsidRDefault="008B4E8E" w:rsidP="00BC68C2">
            <w:pPr>
              <w:pStyle w:val="NormalWeb"/>
              <w:spacing w:before="0" w:beforeAutospacing="0" w:after="0" w:afterAutospacing="0"/>
              <w:jc w:val="center"/>
              <w:textAlignment w:val="center"/>
              <w:rPr>
                <w:rFonts w:asciiTheme="minorHAnsi" w:hAnsiTheme="minorHAnsi" w:cs="Arial"/>
                <w:color w:val="23304D"/>
                <w:kern w:val="24"/>
                <w:sz w:val="20"/>
                <w:szCs w:val="20"/>
                <w:lang w:val="pt-BR"/>
              </w:rPr>
            </w:pPr>
            <w:r w:rsidRPr="0091203C">
              <w:rPr>
                <w:rFonts w:asciiTheme="minorHAnsi" w:hAnsiTheme="minorHAnsi" w:cs="Arial"/>
                <w:color w:val="23304D"/>
                <w:kern w:val="24"/>
                <w:sz w:val="20"/>
                <w:szCs w:val="20"/>
                <w:lang w:val="pt-BR"/>
              </w:rPr>
              <w:t xml:space="preserve">€216 </w:t>
            </w:r>
            <w:r>
              <w:rPr>
                <w:rFonts w:asciiTheme="minorHAnsi" w:hAnsiTheme="minorHAnsi" w:cs="Arial"/>
                <w:color w:val="23304D"/>
                <w:kern w:val="24"/>
                <w:sz w:val="20"/>
                <w:szCs w:val="20"/>
              </w:rPr>
              <w:t>εκατ.</w:t>
            </w:r>
          </w:p>
        </w:tc>
        <w:tc>
          <w:tcPr>
            <w:tcW w:w="1104" w:type="dxa"/>
            <w:tcMar>
              <w:top w:w="15" w:type="dxa"/>
              <w:left w:w="15" w:type="dxa"/>
              <w:bottom w:w="0" w:type="dxa"/>
              <w:right w:w="15" w:type="dxa"/>
            </w:tcMar>
            <w:vAlign w:val="center"/>
            <w:hideMark/>
          </w:tcPr>
          <w:p w14:paraId="682A1176" w14:textId="77777777" w:rsidR="008B4E8E" w:rsidRPr="00CB7615" w:rsidRDefault="008B4E8E" w:rsidP="00BC68C2">
            <w:pPr>
              <w:pStyle w:val="NormalWeb"/>
              <w:spacing w:before="0" w:beforeAutospacing="0" w:after="0" w:afterAutospacing="0"/>
              <w:jc w:val="center"/>
              <w:textAlignment w:val="center"/>
              <w:rPr>
                <w:rFonts w:asciiTheme="minorHAnsi" w:hAnsiTheme="minorHAnsi" w:cs="Arial"/>
                <w:sz w:val="20"/>
                <w:szCs w:val="20"/>
              </w:rPr>
            </w:pPr>
            <w:r w:rsidRPr="00CB7615">
              <w:rPr>
                <w:rFonts w:asciiTheme="minorHAnsi" w:hAnsiTheme="minorHAnsi" w:cs="Arial"/>
                <w:color w:val="23304D"/>
                <w:kern w:val="24"/>
                <w:sz w:val="20"/>
                <w:szCs w:val="20"/>
              </w:rPr>
              <w:t>+1</w:t>
            </w:r>
            <w:r>
              <w:rPr>
                <w:rFonts w:asciiTheme="minorHAnsi" w:hAnsiTheme="minorHAnsi" w:cs="Arial"/>
                <w:color w:val="23304D"/>
                <w:kern w:val="24"/>
                <w:sz w:val="20"/>
                <w:szCs w:val="20"/>
                <w:lang w:val="en-GB"/>
              </w:rPr>
              <w:t>7</w:t>
            </w:r>
            <w:r w:rsidRPr="00CB7615">
              <w:rPr>
                <w:rFonts w:asciiTheme="minorHAnsi" w:hAnsiTheme="minorHAnsi" w:cs="Arial"/>
                <w:color w:val="23304D"/>
                <w:kern w:val="24"/>
                <w:sz w:val="20"/>
                <w:szCs w:val="20"/>
              </w:rPr>
              <w:t>%</w:t>
            </w:r>
          </w:p>
        </w:tc>
        <w:tc>
          <w:tcPr>
            <w:tcW w:w="2706" w:type="dxa"/>
            <w:tcMar>
              <w:top w:w="15" w:type="dxa"/>
              <w:left w:w="15" w:type="dxa"/>
              <w:bottom w:w="0" w:type="dxa"/>
              <w:right w:w="15" w:type="dxa"/>
            </w:tcMar>
            <w:vAlign w:val="center"/>
            <w:hideMark/>
          </w:tcPr>
          <w:p w14:paraId="30ECC418" w14:textId="77777777" w:rsidR="008B4E8E" w:rsidRPr="008B4E8E" w:rsidRDefault="008B4E8E" w:rsidP="00BC68C2">
            <w:pPr>
              <w:spacing w:after="0"/>
              <w:jc w:val="center"/>
              <w:textAlignment w:val="center"/>
              <w:rPr>
                <w:lang w:val="el-GR" w:eastAsia="el-GR"/>
              </w:rPr>
            </w:pPr>
            <w:r w:rsidRPr="008B4E8E">
              <w:rPr>
                <w:color w:val="23304D"/>
                <w:sz w:val="20"/>
                <w:szCs w:val="20"/>
                <w:lang w:val="el-GR"/>
              </w:rPr>
              <w:t>Ανάπτυξη στη μεσαία κλίμακα των διψήφιων ποσοστών</w:t>
            </w:r>
          </w:p>
          <w:p w14:paraId="062B9999" w14:textId="77777777" w:rsidR="008B4E8E" w:rsidRPr="008B4E8E" w:rsidRDefault="008B4E8E" w:rsidP="00BC68C2">
            <w:pPr>
              <w:pStyle w:val="NormalWeb"/>
              <w:spacing w:before="0" w:beforeAutospacing="0" w:after="0" w:afterAutospacing="0"/>
              <w:jc w:val="center"/>
              <w:textAlignment w:val="center"/>
              <w:rPr>
                <w:rFonts w:asciiTheme="minorHAnsi" w:hAnsiTheme="minorHAnsi" w:cs="Arial"/>
                <w:sz w:val="20"/>
                <w:szCs w:val="20"/>
                <w:lang w:val="el-GR"/>
              </w:rPr>
            </w:pPr>
          </w:p>
        </w:tc>
      </w:tr>
      <w:tr w:rsidR="008B4E8E" w:rsidRPr="00CB7615" w14:paraId="6C97B8B3" w14:textId="77777777" w:rsidTr="00366F3F">
        <w:trPr>
          <w:trHeight w:val="158"/>
        </w:trPr>
        <w:tc>
          <w:tcPr>
            <w:tcW w:w="2145" w:type="dxa"/>
            <w:tcMar>
              <w:top w:w="15" w:type="dxa"/>
              <w:left w:w="15" w:type="dxa"/>
              <w:bottom w:w="0" w:type="dxa"/>
              <w:right w:w="15" w:type="dxa"/>
            </w:tcMar>
            <w:vAlign w:val="center"/>
            <w:hideMark/>
          </w:tcPr>
          <w:p w14:paraId="722D5710" w14:textId="77777777" w:rsidR="008B4E8E" w:rsidRDefault="008B4E8E" w:rsidP="00BC68C2">
            <w:pPr>
              <w:spacing w:after="0"/>
              <w:textAlignment w:val="bottom"/>
              <w:rPr>
                <w:lang w:eastAsia="el-GR"/>
              </w:rPr>
            </w:pPr>
            <w:r>
              <w:rPr>
                <w:b/>
                <w:bCs/>
                <w:color w:val="23304D"/>
                <w:sz w:val="20"/>
                <w:szCs w:val="20"/>
              </w:rPr>
              <w:t>Προσαρμοσμένο EBITDA</w:t>
            </w:r>
          </w:p>
          <w:p w14:paraId="50720150" w14:textId="77777777" w:rsidR="008B4E8E" w:rsidRPr="00CB7615" w:rsidRDefault="008B4E8E" w:rsidP="00BC68C2">
            <w:pPr>
              <w:pStyle w:val="NormalWeb"/>
              <w:spacing w:before="0" w:beforeAutospacing="0" w:after="0" w:afterAutospacing="0"/>
              <w:textAlignment w:val="bottom"/>
              <w:rPr>
                <w:rFonts w:asciiTheme="minorHAnsi" w:hAnsiTheme="minorHAnsi" w:cs="Arial"/>
                <w:sz w:val="20"/>
                <w:szCs w:val="20"/>
              </w:rPr>
            </w:pPr>
          </w:p>
        </w:tc>
        <w:tc>
          <w:tcPr>
            <w:tcW w:w="1305" w:type="dxa"/>
            <w:tcMar>
              <w:top w:w="15" w:type="dxa"/>
              <w:left w:w="15" w:type="dxa"/>
              <w:bottom w:w="0" w:type="dxa"/>
              <w:right w:w="15" w:type="dxa"/>
            </w:tcMar>
            <w:vAlign w:val="center"/>
            <w:hideMark/>
          </w:tcPr>
          <w:p w14:paraId="40A947AF" w14:textId="77777777" w:rsidR="008B4E8E" w:rsidRPr="007E2B2B" w:rsidRDefault="008B4E8E" w:rsidP="00BC68C2">
            <w:pPr>
              <w:pStyle w:val="NormalWeb"/>
              <w:spacing w:before="0" w:beforeAutospacing="0" w:after="0" w:afterAutospacing="0"/>
              <w:jc w:val="center"/>
              <w:textAlignment w:val="center"/>
              <w:rPr>
                <w:rFonts w:asciiTheme="minorHAnsi" w:hAnsiTheme="minorHAnsi" w:cs="Arial"/>
                <w:sz w:val="20"/>
                <w:szCs w:val="20"/>
              </w:rPr>
            </w:pPr>
            <w:r w:rsidRPr="007E2B2B">
              <w:rPr>
                <w:rFonts w:asciiTheme="minorHAnsi" w:hAnsiTheme="minorHAnsi" w:cs="Arial"/>
                <w:color w:val="23304D"/>
                <w:kern w:val="24"/>
                <w:sz w:val="20"/>
                <w:szCs w:val="20"/>
                <w:lang w:val="pt-BR"/>
              </w:rPr>
              <w:t xml:space="preserve">€39 </w:t>
            </w:r>
            <w:r>
              <w:rPr>
                <w:rFonts w:asciiTheme="minorHAnsi" w:hAnsiTheme="minorHAnsi" w:cs="Arial"/>
                <w:color w:val="23304D"/>
                <w:kern w:val="24"/>
                <w:sz w:val="20"/>
                <w:szCs w:val="20"/>
              </w:rPr>
              <w:t>εκατ.</w:t>
            </w:r>
          </w:p>
        </w:tc>
        <w:tc>
          <w:tcPr>
            <w:tcW w:w="1104" w:type="dxa"/>
            <w:vAlign w:val="center"/>
          </w:tcPr>
          <w:p w14:paraId="392FD473" w14:textId="77777777" w:rsidR="008B4E8E" w:rsidRPr="0091203C" w:rsidRDefault="008B4E8E" w:rsidP="00BC68C2">
            <w:pPr>
              <w:pStyle w:val="NormalWeb"/>
              <w:spacing w:before="0" w:beforeAutospacing="0" w:after="0" w:afterAutospacing="0"/>
              <w:jc w:val="center"/>
              <w:textAlignment w:val="center"/>
              <w:rPr>
                <w:rFonts w:asciiTheme="minorHAnsi" w:hAnsiTheme="minorHAnsi" w:cs="Arial"/>
                <w:color w:val="23304D"/>
                <w:kern w:val="24"/>
                <w:sz w:val="20"/>
                <w:szCs w:val="20"/>
                <w:lang w:val="pt-BR"/>
              </w:rPr>
            </w:pPr>
            <w:r w:rsidRPr="0091203C">
              <w:rPr>
                <w:rFonts w:asciiTheme="minorHAnsi" w:hAnsiTheme="minorHAnsi" w:cs="Arial"/>
                <w:color w:val="23304D"/>
                <w:kern w:val="24"/>
                <w:sz w:val="20"/>
                <w:szCs w:val="20"/>
                <w:lang w:val="pt-BR"/>
              </w:rPr>
              <w:t xml:space="preserve">€43 </w:t>
            </w:r>
            <w:r>
              <w:rPr>
                <w:rFonts w:asciiTheme="minorHAnsi" w:hAnsiTheme="minorHAnsi" w:cs="Arial"/>
                <w:color w:val="23304D"/>
                <w:kern w:val="24"/>
                <w:sz w:val="20"/>
                <w:szCs w:val="20"/>
              </w:rPr>
              <w:t>εκατ.</w:t>
            </w:r>
          </w:p>
        </w:tc>
        <w:tc>
          <w:tcPr>
            <w:tcW w:w="1104" w:type="dxa"/>
            <w:tcMar>
              <w:top w:w="15" w:type="dxa"/>
              <w:left w:w="15" w:type="dxa"/>
              <w:bottom w:w="0" w:type="dxa"/>
              <w:right w:w="15" w:type="dxa"/>
            </w:tcMar>
            <w:vAlign w:val="center"/>
            <w:hideMark/>
          </w:tcPr>
          <w:p w14:paraId="7AF60B60" w14:textId="77777777" w:rsidR="008B4E8E" w:rsidRPr="00CB7615" w:rsidRDefault="008B4E8E" w:rsidP="00BC68C2">
            <w:pPr>
              <w:pStyle w:val="NormalWeb"/>
              <w:spacing w:before="0" w:beforeAutospacing="0" w:after="0" w:afterAutospacing="0"/>
              <w:jc w:val="center"/>
              <w:textAlignment w:val="center"/>
              <w:rPr>
                <w:rFonts w:asciiTheme="minorHAnsi" w:hAnsiTheme="minorHAnsi" w:cs="Arial"/>
                <w:sz w:val="20"/>
                <w:szCs w:val="20"/>
              </w:rPr>
            </w:pPr>
            <w:r w:rsidRPr="00CB7615">
              <w:rPr>
                <w:rFonts w:asciiTheme="minorHAnsi" w:hAnsiTheme="minorHAnsi" w:cs="Arial"/>
                <w:color w:val="23304D"/>
                <w:kern w:val="24"/>
                <w:sz w:val="20"/>
                <w:szCs w:val="20"/>
              </w:rPr>
              <w:t>+</w:t>
            </w:r>
            <w:r>
              <w:rPr>
                <w:rFonts w:asciiTheme="minorHAnsi" w:hAnsiTheme="minorHAnsi" w:cs="Arial"/>
                <w:color w:val="23304D"/>
                <w:kern w:val="24"/>
                <w:sz w:val="20"/>
                <w:szCs w:val="20"/>
                <w:lang w:val="en-GB"/>
              </w:rPr>
              <w:t>12</w:t>
            </w:r>
            <w:r w:rsidRPr="00CB7615">
              <w:rPr>
                <w:rFonts w:asciiTheme="minorHAnsi" w:hAnsiTheme="minorHAnsi" w:cs="Arial"/>
                <w:color w:val="23304D"/>
                <w:kern w:val="24"/>
                <w:sz w:val="20"/>
                <w:szCs w:val="20"/>
              </w:rPr>
              <w:t>%</w:t>
            </w:r>
          </w:p>
        </w:tc>
        <w:tc>
          <w:tcPr>
            <w:tcW w:w="2706" w:type="dxa"/>
            <w:tcMar>
              <w:top w:w="15" w:type="dxa"/>
              <w:left w:w="15" w:type="dxa"/>
              <w:bottom w:w="0" w:type="dxa"/>
              <w:right w:w="15" w:type="dxa"/>
            </w:tcMar>
            <w:vAlign w:val="center"/>
            <w:hideMark/>
          </w:tcPr>
          <w:p w14:paraId="4C1F6CA4" w14:textId="77777777" w:rsidR="008B4E8E" w:rsidRPr="00CB7615" w:rsidRDefault="008B4E8E" w:rsidP="00BC68C2">
            <w:pPr>
              <w:spacing w:after="0" w:line="240" w:lineRule="auto"/>
              <w:jc w:val="center"/>
              <w:rPr>
                <w:rFonts w:cs="Arial"/>
                <w:sz w:val="20"/>
                <w:szCs w:val="20"/>
              </w:rPr>
            </w:pPr>
          </w:p>
        </w:tc>
      </w:tr>
      <w:tr w:rsidR="008B4E8E" w:rsidRPr="00CB7615" w14:paraId="500C0AB7" w14:textId="77777777" w:rsidTr="00366F3F">
        <w:trPr>
          <w:trHeight w:val="158"/>
        </w:trPr>
        <w:tc>
          <w:tcPr>
            <w:tcW w:w="2145" w:type="dxa"/>
            <w:tcMar>
              <w:top w:w="15" w:type="dxa"/>
              <w:left w:w="15" w:type="dxa"/>
              <w:bottom w:w="0" w:type="dxa"/>
              <w:right w:w="15" w:type="dxa"/>
            </w:tcMar>
            <w:vAlign w:val="center"/>
            <w:hideMark/>
          </w:tcPr>
          <w:p w14:paraId="1395A52A" w14:textId="77777777" w:rsidR="008B4E8E" w:rsidRDefault="008B4E8E" w:rsidP="00BC68C2">
            <w:pPr>
              <w:spacing w:after="0"/>
              <w:textAlignment w:val="bottom"/>
              <w:rPr>
                <w:lang w:eastAsia="el-GR"/>
              </w:rPr>
            </w:pPr>
            <w:r>
              <w:rPr>
                <w:b/>
                <w:bCs/>
                <w:color w:val="23304D"/>
                <w:sz w:val="20"/>
                <w:szCs w:val="20"/>
              </w:rPr>
              <w:t>Περιθώριο Προσαρμοσμένου EBITDA</w:t>
            </w:r>
          </w:p>
          <w:p w14:paraId="6EEDF2BA" w14:textId="77777777" w:rsidR="008B4E8E" w:rsidRPr="00CB7615" w:rsidRDefault="008B4E8E" w:rsidP="00BC68C2">
            <w:pPr>
              <w:pStyle w:val="NormalWeb"/>
              <w:spacing w:before="0" w:beforeAutospacing="0" w:after="0" w:afterAutospacing="0"/>
              <w:textAlignment w:val="bottom"/>
              <w:rPr>
                <w:rFonts w:asciiTheme="minorHAnsi" w:hAnsiTheme="minorHAnsi" w:cs="Arial"/>
                <w:sz w:val="20"/>
                <w:szCs w:val="20"/>
              </w:rPr>
            </w:pPr>
          </w:p>
        </w:tc>
        <w:tc>
          <w:tcPr>
            <w:tcW w:w="1305" w:type="dxa"/>
            <w:tcMar>
              <w:top w:w="15" w:type="dxa"/>
              <w:left w:w="15" w:type="dxa"/>
              <w:bottom w:w="0" w:type="dxa"/>
              <w:right w:w="15" w:type="dxa"/>
            </w:tcMar>
            <w:vAlign w:val="center"/>
            <w:hideMark/>
          </w:tcPr>
          <w:p w14:paraId="3985CBCC" w14:textId="77777777" w:rsidR="008B4E8E" w:rsidRPr="007E2B2B" w:rsidRDefault="008B4E8E" w:rsidP="00BC68C2">
            <w:pPr>
              <w:pStyle w:val="NormalWeb"/>
              <w:spacing w:before="0" w:beforeAutospacing="0" w:after="0" w:afterAutospacing="0"/>
              <w:jc w:val="center"/>
              <w:textAlignment w:val="center"/>
              <w:rPr>
                <w:rFonts w:asciiTheme="minorHAnsi" w:hAnsiTheme="minorHAnsi" w:cs="Arial"/>
                <w:sz w:val="20"/>
                <w:szCs w:val="20"/>
                <w:lang w:val="en-GB"/>
              </w:rPr>
            </w:pPr>
            <w:r w:rsidRPr="007E2B2B">
              <w:rPr>
                <w:rFonts w:asciiTheme="minorHAnsi" w:hAnsiTheme="minorHAnsi" w:cs="Arial"/>
                <w:color w:val="23304D"/>
                <w:kern w:val="24"/>
                <w:sz w:val="20"/>
                <w:szCs w:val="20"/>
              </w:rPr>
              <w:t>+21%</w:t>
            </w:r>
          </w:p>
        </w:tc>
        <w:tc>
          <w:tcPr>
            <w:tcW w:w="1104" w:type="dxa"/>
            <w:vAlign w:val="center"/>
          </w:tcPr>
          <w:p w14:paraId="5CE81F42" w14:textId="77777777" w:rsidR="008B4E8E" w:rsidRPr="0091203C" w:rsidRDefault="008B4E8E" w:rsidP="00BC68C2">
            <w:pPr>
              <w:pStyle w:val="NormalWeb"/>
              <w:spacing w:before="0" w:beforeAutospacing="0" w:after="0" w:afterAutospacing="0"/>
              <w:jc w:val="center"/>
              <w:textAlignment w:val="center"/>
              <w:rPr>
                <w:rFonts w:asciiTheme="minorHAnsi" w:hAnsiTheme="minorHAnsi" w:cs="Arial"/>
                <w:color w:val="23304D"/>
                <w:kern w:val="24"/>
                <w:sz w:val="20"/>
                <w:szCs w:val="20"/>
                <w:lang w:val="pt-BR"/>
              </w:rPr>
            </w:pPr>
            <w:r w:rsidRPr="0091203C">
              <w:rPr>
                <w:rFonts w:asciiTheme="minorHAnsi" w:hAnsiTheme="minorHAnsi" w:cs="Arial"/>
                <w:color w:val="23304D"/>
                <w:kern w:val="24"/>
                <w:sz w:val="20"/>
                <w:szCs w:val="20"/>
                <w:lang w:val="pt-BR"/>
              </w:rPr>
              <w:t>+20%</w:t>
            </w:r>
          </w:p>
        </w:tc>
        <w:tc>
          <w:tcPr>
            <w:tcW w:w="1104" w:type="dxa"/>
            <w:tcMar>
              <w:top w:w="15" w:type="dxa"/>
              <w:left w:w="15" w:type="dxa"/>
              <w:bottom w:w="0" w:type="dxa"/>
              <w:right w:w="15" w:type="dxa"/>
            </w:tcMar>
            <w:vAlign w:val="center"/>
            <w:hideMark/>
          </w:tcPr>
          <w:p w14:paraId="50041220" w14:textId="77777777" w:rsidR="008B4E8E" w:rsidRPr="00CB7615" w:rsidRDefault="008B4E8E" w:rsidP="00BC68C2">
            <w:pPr>
              <w:spacing w:after="0" w:line="240" w:lineRule="auto"/>
              <w:jc w:val="center"/>
              <w:rPr>
                <w:sz w:val="20"/>
                <w:szCs w:val="20"/>
              </w:rPr>
            </w:pPr>
          </w:p>
        </w:tc>
        <w:tc>
          <w:tcPr>
            <w:tcW w:w="2706" w:type="dxa"/>
            <w:tcMar>
              <w:top w:w="15" w:type="dxa"/>
              <w:left w:w="15" w:type="dxa"/>
              <w:bottom w:w="0" w:type="dxa"/>
              <w:right w:w="15" w:type="dxa"/>
            </w:tcMar>
            <w:vAlign w:val="center"/>
            <w:hideMark/>
          </w:tcPr>
          <w:p w14:paraId="473825B9" w14:textId="77777777" w:rsidR="008B4E8E" w:rsidRPr="00CB7615" w:rsidRDefault="008B4E8E" w:rsidP="00BC68C2">
            <w:pPr>
              <w:spacing w:after="0" w:line="240" w:lineRule="auto"/>
              <w:jc w:val="center"/>
              <w:rPr>
                <w:sz w:val="20"/>
                <w:szCs w:val="20"/>
              </w:rPr>
            </w:pPr>
            <w:r w:rsidRPr="00CB7615">
              <w:rPr>
                <w:rFonts w:cs="Arial"/>
                <w:color w:val="23304D"/>
                <w:kern w:val="24"/>
                <w:sz w:val="20"/>
                <w:szCs w:val="20"/>
              </w:rPr>
              <w:t xml:space="preserve">~ 20% </w:t>
            </w:r>
          </w:p>
        </w:tc>
      </w:tr>
      <w:tr w:rsidR="008B4E8E" w:rsidRPr="00CB7615" w14:paraId="4E47D9CA" w14:textId="77777777" w:rsidTr="00366F3F">
        <w:trPr>
          <w:trHeight w:val="158"/>
        </w:trPr>
        <w:tc>
          <w:tcPr>
            <w:tcW w:w="2145" w:type="dxa"/>
            <w:tcMar>
              <w:top w:w="15" w:type="dxa"/>
              <w:left w:w="15" w:type="dxa"/>
              <w:bottom w:w="0" w:type="dxa"/>
              <w:right w:w="15" w:type="dxa"/>
            </w:tcMar>
            <w:vAlign w:val="center"/>
            <w:hideMark/>
          </w:tcPr>
          <w:p w14:paraId="7903E685" w14:textId="77777777" w:rsidR="008B4E8E" w:rsidRDefault="008B4E8E" w:rsidP="00BC68C2">
            <w:pPr>
              <w:spacing w:after="0"/>
              <w:textAlignment w:val="bottom"/>
              <w:rPr>
                <w:lang w:eastAsia="el-GR"/>
              </w:rPr>
            </w:pPr>
            <w:r>
              <w:rPr>
                <w:b/>
                <w:bCs/>
                <w:color w:val="23304D"/>
                <w:sz w:val="20"/>
                <w:szCs w:val="20"/>
              </w:rPr>
              <w:t>Κεφαλαιουχικές Δαπάνες (Capex) / Έσοδα</w:t>
            </w:r>
          </w:p>
          <w:p w14:paraId="25AF6691" w14:textId="77777777" w:rsidR="008B4E8E" w:rsidRPr="00CB7615" w:rsidRDefault="008B4E8E" w:rsidP="00BC68C2">
            <w:pPr>
              <w:pStyle w:val="NormalWeb"/>
              <w:spacing w:before="0" w:beforeAutospacing="0" w:after="0" w:afterAutospacing="0"/>
              <w:textAlignment w:val="bottom"/>
              <w:rPr>
                <w:rFonts w:asciiTheme="minorHAnsi" w:hAnsiTheme="minorHAnsi" w:cs="Arial"/>
                <w:sz w:val="20"/>
                <w:szCs w:val="20"/>
              </w:rPr>
            </w:pPr>
          </w:p>
        </w:tc>
        <w:tc>
          <w:tcPr>
            <w:tcW w:w="1305" w:type="dxa"/>
            <w:tcMar>
              <w:top w:w="15" w:type="dxa"/>
              <w:left w:w="15" w:type="dxa"/>
              <w:bottom w:w="0" w:type="dxa"/>
              <w:right w:w="15" w:type="dxa"/>
            </w:tcMar>
            <w:vAlign w:val="center"/>
            <w:hideMark/>
          </w:tcPr>
          <w:p w14:paraId="54FE9208" w14:textId="77777777" w:rsidR="008B4E8E" w:rsidRPr="007E2B2B" w:rsidRDefault="008B4E8E" w:rsidP="00BC68C2">
            <w:pPr>
              <w:pStyle w:val="NormalWeb"/>
              <w:spacing w:before="0" w:beforeAutospacing="0" w:after="0" w:afterAutospacing="0"/>
              <w:jc w:val="center"/>
              <w:textAlignment w:val="center"/>
              <w:rPr>
                <w:rFonts w:asciiTheme="minorHAnsi" w:hAnsiTheme="minorHAnsi" w:cs="Arial"/>
                <w:sz w:val="20"/>
                <w:szCs w:val="20"/>
              </w:rPr>
            </w:pPr>
            <w:r w:rsidRPr="007E2B2B">
              <w:rPr>
                <w:rFonts w:asciiTheme="minorHAnsi" w:hAnsiTheme="minorHAnsi" w:cs="Arial"/>
                <w:color w:val="23304D"/>
                <w:kern w:val="24"/>
                <w:sz w:val="20"/>
                <w:szCs w:val="20"/>
              </w:rPr>
              <w:t>7</w:t>
            </w:r>
            <w:r>
              <w:rPr>
                <w:rFonts w:asciiTheme="minorHAnsi" w:hAnsiTheme="minorHAnsi" w:cs="Arial"/>
                <w:color w:val="23304D"/>
                <w:kern w:val="24"/>
                <w:sz w:val="20"/>
                <w:szCs w:val="20"/>
                <w:lang w:val="en-GB"/>
              </w:rPr>
              <w:t>.3</w:t>
            </w:r>
            <w:r w:rsidRPr="007E2B2B">
              <w:rPr>
                <w:rFonts w:asciiTheme="minorHAnsi" w:hAnsiTheme="minorHAnsi" w:cs="Arial"/>
                <w:color w:val="23304D"/>
                <w:kern w:val="24"/>
                <w:sz w:val="20"/>
                <w:szCs w:val="20"/>
              </w:rPr>
              <w:t>%</w:t>
            </w:r>
          </w:p>
        </w:tc>
        <w:tc>
          <w:tcPr>
            <w:tcW w:w="1104" w:type="dxa"/>
            <w:vAlign w:val="center"/>
          </w:tcPr>
          <w:p w14:paraId="45351014" w14:textId="77777777" w:rsidR="008B4E8E" w:rsidRPr="0091203C" w:rsidRDefault="008B4E8E" w:rsidP="00BC68C2">
            <w:pPr>
              <w:pStyle w:val="NormalWeb"/>
              <w:spacing w:before="0" w:beforeAutospacing="0" w:after="0" w:afterAutospacing="0"/>
              <w:jc w:val="center"/>
              <w:textAlignment w:val="center"/>
              <w:rPr>
                <w:rFonts w:asciiTheme="minorHAnsi" w:hAnsiTheme="minorHAnsi" w:cs="Arial"/>
                <w:color w:val="23304D"/>
                <w:kern w:val="24"/>
                <w:sz w:val="20"/>
                <w:szCs w:val="20"/>
                <w:lang w:val="pt-BR"/>
              </w:rPr>
            </w:pPr>
            <w:r w:rsidRPr="0091203C">
              <w:rPr>
                <w:rFonts w:asciiTheme="minorHAnsi" w:hAnsiTheme="minorHAnsi" w:cs="Arial"/>
                <w:color w:val="23304D"/>
                <w:kern w:val="24"/>
                <w:sz w:val="20"/>
                <w:szCs w:val="20"/>
                <w:lang w:val="pt-BR"/>
              </w:rPr>
              <w:t>8</w:t>
            </w:r>
            <w:r>
              <w:rPr>
                <w:rFonts w:asciiTheme="minorHAnsi" w:hAnsiTheme="minorHAnsi" w:cs="Arial"/>
                <w:color w:val="23304D"/>
                <w:kern w:val="24"/>
                <w:sz w:val="20"/>
                <w:szCs w:val="20"/>
                <w:lang w:val="pt-BR"/>
              </w:rPr>
              <w:t>.6</w:t>
            </w:r>
            <w:r w:rsidRPr="0091203C">
              <w:rPr>
                <w:rFonts w:asciiTheme="minorHAnsi" w:hAnsiTheme="minorHAnsi" w:cs="Arial"/>
                <w:color w:val="23304D"/>
                <w:kern w:val="24"/>
                <w:sz w:val="20"/>
                <w:szCs w:val="20"/>
                <w:lang w:val="pt-BR"/>
              </w:rPr>
              <w:t>%</w:t>
            </w:r>
          </w:p>
        </w:tc>
        <w:tc>
          <w:tcPr>
            <w:tcW w:w="1104" w:type="dxa"/>
            <w:tcMar>
              <w:top w:w="15" w:type="dxa"/>
              <w:left w:w="15" w:type="dxa"/>
              <w:bottom w:w="0" w:type="dxa"/>
              <w:right w:w="15" w:type="dxa"/>
            </w:tcMar>
            <w:vAlign w:val="center"/>
            <w:hideMark/>
          </w:tcPr>
          <w:p w14:paraId="1FB69A92" w14:textId="77777777" w:rsidR="008B4E8E" w:rsidRPr="00CB7615" w:rsidRDefault="008B4E8E" w:rsidP="00BC68C2">
            <w:pPr>
              <w:spacing w:after="0" w:line="240" w:lineRule="auto"/>
              <w:jc w:val="center"/>
              <w:rPr>
                <w:rFonts w:cs="Arial"/>
                <w:sz w:val="20"/>
                <w:szCs w:val="20"/>
              </w:rPr>
            </w:pPr>
          </w:p>
        </w:tc>
        <w:tc>
          <w:tcPr>
            <w:tcW w:w="2706" w:type="dxa"/>
            <w:tcMar>
              <w:top w:w="15" w:type="dxa"/>
              <w:left w:w="15" w:type="dxa"/>
              <w:bottom w:w="0" w:type="dxa"/>
              <w:right w:w="15" w:type="dxa"/>
            </w:tcMar>
            <w:vAlign w:val="center"/>
            <w:hideMark/>
          </w:tcPr>
          <w:p w14:paraId="3B549B92" w14:textId="77777777" w:rsidR="008B4E8E" w:rsidRDefault="008B4E8E" w:rsidP="00BC68C2">
            <w:pPr>
              <w:spacing w:after="0"/>
              <w:jc w:val="center"/>
              <w:textAlignment w:val="center"/>
              <w:rPr>
                <w:lang w:eastAsia="el-GR"/>
              </w:rPr>
            </w:pPr>
            <w:r>
              <w:rPr>
                <w:color w:val="23304D"/>
                <w:sz w:val="20"/>
                <w:szCs w:val="20"/>
              </w:rPr>
              <w:t>Σταθερό</w:t>
            </w:r>
          </w:p>
          <w:p w14:paraId="37E10349" w14:textId="77777777" w:rsidR="008B4E8E" w:rsidRPr="00CB7615" w:rsidRDefault="008B4E8E" w:rsidP="00BC68C2">
            <w:pPr>
              <w:pStyle w:val="NormalWeb"/>
              <w:spacing w:before="0" w:beforeAutospacing="0" w:after="0" w:afterAutospacing="0"/>
              <w:jc w:val="center"/>
              <w:textAlignment w:val="center"/>
              <w:rPr>
                <w:rFonts w:asciiTheme="minorHAnsi" w:hAnsiTheme="minorHAnsi" w:cs="Arial"/>
                <w:sz w:val="20"/>
                <w:szCs w:val="20"/>
              </w:rPr>
            </w:pPr>
          </w:p>
        </w:tc>
      </w:tr>
      <w:tr w:rsidR="008B4E8E" w:rsidRPr="00CB7615" w14:paraId="2FBA75B4" w14:textId="77777777" w:rsidTr="00366F3F">
        <w:trPr>
          <w:trHeight w:val="316"/>
        </w:trPr>
        <w:tc>
          <w:tcPr>
            <w:tcW w:w="2145" w:type="dxa"/>
            <w:tcMar>
              <w:top w:w="15" w:type="dxa"/>
              <w:left w:w="15" w:type="dxa"/>
              <w:bottom w:w="0" w:type="dxa"/>
              <w:right w:w="15" w:type="dxa"/>
            </w:tcMar>
            <w:vAlign w:val="center"/>
            <w:hideMark/>
          </w:tcPr>
          <w:p w14:paraId="357B0528" w14:textId="77777777" w:rsidR="008B4E8E" w:rsidRPr="008B4E8E" w:rsidRDefault="008B4E8E" w:rsidP="00BC68C2">
            <w:pPr>
              <w:spacing w:after="0"/>
              <w:textAlignment w:val="bottom"/>
              <w:rPr>
                <w:lang w:val="el-GR" w:eastAsia="el-GR"/>
              </w:rPr>
            </w:pPr>
            <w:r w:rsidRPr="008B4E8E">
              <w:rPr>
                <w:b/>
                <w:bCs/>
                <w:color w:val="23304D"/>
                <w:sz w:val="20"/>
                <w:szCs w:val="20"/>
                <w:lang w:val="el-GR"/>
              </w:rPr>
              <w:t xml:space="preserve">Καθαρός Δανεισμός (εξαιρ. </w:t>
            </w:r>
            <w:r>
              <w:rPr>
                <w:b/>
                <w:bCs/>
                <w:color w:val="23304D"/>
                <w:sz w:val="20"/>
                <w:szCs w:val="20"/>
              </w:rPr>
              <w:t>SCI</w:t>
            </w:r>
            <w:r w:rsidRPr="008B4E8E">
              <w:rPr>
                <w:b/>
                <w:bCs/>
                <w:color w:val="23304D"/>
                <w:sz w:val="20"/>
                <w:szCs w:val="20"/>
                <w:lang w:val="el-GR"/>
              </w:rPr>
              <w:t xml:space="preserve"> &amp; μισθώσεων) / Προσαρμοσμένο </w:t>
            </w:r>
            <w:r>
              <w:rPr>
                <w:b/>
                <w:bCs/>
                <w:color w:val="23304D"/>
                <w:sz w:val="20"/>
                <w:szCs w:val="20"/>
              </w:rPr>
              <w:t>EBITDA</w:t>
            </w:r>
          </w:p>
          <w:p w14:paraId="4B81A327" w14:textId="77777777" w:rsidR="008B4E8E" w:rsidRPr="008B4E8E" w:rsidRDefault="008B4E8E" w:rsidP="00BC68C2">
            <w:pPr>
              <w:pStyle w:val="NormalWeb"/>
              <w:spacing w:before="0" w:beforeAutospacing="0" w:after="0" w:afterAutospacing="0"/>
              <w:textAlignment w:val="bottom"/>
              <w:rPr>
                <w:rFonts w:asciiTheme="minorHAnsi" w:hAnsiTheme="minorHAnsi" w:cs="Arial"/>
                <w:sz w:val="20"/>
                <w:szCs w:val="20"/>
                <w:lang w:val="el-GR"/>
              </w:rPr>
            </w:pPr>
          </w:p>
        </w:tc>
        <w:tc>
          <w:tcPr>
            <w:tcW w:w="1305" w:type="dxa"/>
            <w:tcMar>
              <w:top w:w="15" w:type="dxa"/>
              <w:left w:w="15" w:type="dxa"/>
              <w:bottom w:w="0" w:type="dxa"/>
              <w:right w:w="15" w:type="dxa"/>
            </w:tcMar>
            <w:vAlign w:val="center"/>
            <w:hideMark/>
          </w:tcPr>
          <w:p w14:paraId="475CDDEB" w14:textId="77777777" w:rsidR="008B4E8E" w:rsidRPr="007E2B2B" w:rsidRDefault="008B4E8E" w:rsidP="00BC68C2">
            <w:pPr>
              <w:pStyle w:val="NormalWeb"/>
              <w:spacing w:before="0" w:beforeAutospacing="0" w:after="0" w:afterAutospacing="0"/>
              <w:jc w:val="center"/>
              <w:textAlignment w:val="center"/>
              <w:rPr>
                <w:rFonts w:asciiTheme="minorHAnsi" w:hAnsiTheme="minorHAnsi" w:cs="Arial"/>
                <w:sz w:val="20"/>
                <w:szCs w:val="20"/>
              </w:rPr>
            </w:pPr>
            <w:r w:rsidRPr="007E2B2B">
              <w:rPr>
                <w:rFonts w:asciiTheme="minorHAnsi" w:hAnsiTheme="minorHAnsi" w:cs="Arial"/>
                <w:color w:val="23304D"/>
                <w:kern w:val="24"/>
                <w:sz w:val="20"/>
                <w:szCs w:val="20"/>
                <w:lang w:val="pt-BR"/>
              </w:rPr>
              <w:t>0.7x</w:t>
            </w:r>
          </w:p>
        </w:tc>
        <w:tc>
          <w:tcPr>
            <w:tcW w:w="1104" w:type="dxa"/>
            <w:vAlign w:val="center"/>
          </w:tcPr>
          <w:p w14:paraId="50BA568A" w14:textId="77777777" w:rsidR="008B4E8E" w:rsidRPr="0091203C" w:rsidRDefault="008B4E8E" w:rsidP="00BC68C2">
            <w:pPr>
              <w:pStyle w:val="NormalWeb"/>
              <w:spacing w:before="0" w:beforeAutospacing="0" w:after="0" w:afterAutospacing="0"/>
              <w:jc w:val="center"/>
              <w:textAlignment w:val="center"/>
              <w:rPr>
                <w:rFonts w:asciiTheme="minorHAnsi" w:hAnsiTheme="minorHAnsi" w:cs="Arial"/>
                <w:color w:val="23304D"/>
                <w:kern w:val="24"/>
                <w:sz w:val="20"/>
                <w:szCs w:val="20"/>
                <w:lang w:val="pt-BR"/>
              </w:rPr>
            </w:pPr>
            <w:r w:rsidRPr="0091203C">
              <w:rPr>
                <w:rFonts w:asciiTheme="minorHAnsi" w:hAnsiTheme="minorHAnsi" w:cs="Arial"/>
                <w:color w:val="23304D"/>
                <w:kern w:val="24"/>
                <w:sz w:val="20"/>
                <w:szCs w:val="20"/>
                <w:lang w:val="pt-BR"/>
              </w:rPr>
              <w:t>0.8x</w:t>
            </w:r>
          </w:p>
        </w:tc>
        <w:tc>
          <w:tcPr>
            <w:tcW w:w="1104" w:type="dxa"/>
            <w:tcMar>
              <w:top w:w="15" w:type="dxa"/>
              <w:left w:w="15" w:type="dxa"/>
              <w:bottom w:w="0" w:type="dxa"/>
              <w:right w:w="15" w:type="dxa"/>
            </w:tcMar>
            <w:vAlign w:val="center"/>
            <w:hideMark/>
          </w:tcPr>
          <w:p w14:paraId="1796C1A1" w14:textId="77777777" w:rsidR="008B4E8E" w:rsidRPr="00CB7615" w:rsidRDefault="008B4E8E" w:rsidP="00BC68C2">
            <w:pPr>
              <w:spacing w:after="0" w:line="240" w:lineRule="auto"/>
              <w:jc w:val="center"/>
              <w:rPr>
                <w:rFonts w:cs="Arial"/>
                <w:sz w:val="20"/>
                <w:szCs w:val="20"/>
              </w:rPr>
            </w:pPr>
          </w:p>
        </w:tc>
        <w:tc>
          <w:tcPr>
            <w:tcW w:w="2706" w:type="dxa"/>
            <w:tcMar>
              <w:top w:w="15" w:type="dxa"/>
              <w:left w:w="15" w:type="dxa"/>
              <w:bottom w:w="0" w:type="dxa"/>
              <w:right w:w="15" w:type="dxa"/>
            </w:tcMar>
            <w:vAlign w:val="center"/>
            <w:hideMark/>
          </w:tcPr>
          <w:p w14:paraId="0D8EFAA2" w14:textId="77777777" w:rsidR="008B4E8E" w:rsidRDefault="008B4E8E" w:rsidP="00BC68C2">
            <w:pPr>
              <w:spacing w:after="0"/>
              <w:jc w:val="center"/>
              <w:textAlignment w:val="center"/>
              <w:rPr>
                <w:lang w:eastAsia="el-GR"/>
              </w:rPr>
            </w:pPr>
            <w:r>
              <w:rPr>
                <w:color w:val="23304D"/>
                <w:sz w:val="20"/>
                <w:szCs w:val="20"/>
              </w:rPr>
              <w:t>Σταθερό</w:t>
            </w:r>
          </w:p>
          <w:p w14:paraId="4131D4B8" w14:textId="77777777" w:rsidR="008B4E8E" w:rsidRPr="00CB7615" w:rsidRDefault="008B4E8E" w:rsidP="00BC68C2">
            <w:pPr>
              <w:pStyle w:val="NormalWeb"/>
              <w:spacing w:before="0" w:beforeAutospacing="0" w:after="0" w:afterAutospacing="0"/>
              <w:jc w:val="center"/>
              <w:textAlignment w:val="center"/>
              <w:rPr>
                <w:rFonts w:asciiTheme="minorHAnsi" w:hAnsiTheme="minorHAnsi" w:cs="Arial"/>
                <w:sz w:val="20"/>
                <w:szCs w:val="20"/>
              </w:rPr>
            </w:pPr>
          </w:p>
        </w:tc>
      </w:tr>
      <w:tr w:rsidR="008B4E8E" w:rsidRPr="00E81C61" w14:paraId="7F866EEF" w14:textId="77777777" w:rsidTr="00366F3F">
        <w:trPr>
          <w:trHeight w:val="174"/>
        </w:trPr>
        <w:tc>
          <w:tcPr>
            <w:tcW w:w="2145" w:type="dxa"/>
            <w:tcMar>
              <w:top w:w="15" w:type="dxa"/>
              <w:left w:w="15" w:type="dxa"/>
              <w:bottom w:w="0" w:type="dxa"/>
              <w:right w:w="15" w:type="dxa"/>
            </w:tcMar>
            <w:vAlign w:val="center"/>
          </w:tcPr>
          <w:p w14:paraId="1F425295" w14:textId="77777777" w:rsidR="008B4E8E" w:rsidRDefault="008B4E8E" w:rsidP="00BC68C2">
            <w:pPr>
              <w:rPr>
                <w:lang w:eastAsia="el-GR"/>
              </w:rPr>
            </w:pPr>
            <w:r>
              <w:rPr>
                <w:b/>
                <w:bCs/>
                <w:color w:val="23304D"/>
                <w:sz w:val="20"/>
                <w:szCs w:val="20"/>
              </w:rPr>
              <w:t>Προσαρμοσμένα Καθαρά Κέρδη</w:t>
            </w:r>
          </w:p>
          <w:p w14:paraId="4E66EFF3" w14:textId="77777777" w:rsidR="008B4E8E" w:rsidRPr="00E81C61" w:rsidRDefault="008B4E8E" w:rsidP="00BC68C2">
            <w:pPr>
              <w:rPr>
                <w:rFonts w:cs="Arial"/>
                <w:sz w:val="20"/>
                <w:szCs w:val="20"/>
                <w:lang w:val="en-GB"/>
              </w:rPr>
            </w:pPr>
          </w:p>
        </w:tc>
        <w:tc>
          <w:tcPr>
            <w:tcW w:w="1305" w:type="dxa"/>
            <w:tcMar>
              <w:top w:w="15" w:type="dxa"/>
              <w:left w:w="15" w:type="dxa"/>
              <w:bottom w:w="0" w:type="dxa"/>
              <w:right w:w="15" w:type="dxa"/>
            </w:tcMar>
            <w:vAlign w:val="center"/>
          </w:tcPr>
          <w:p w14:paraId="5E10249A" w14:textId="77777777" w:rsidR="008B4E8E" w:rsidRPr="00197671" w:rsidRDefault="008B4E8E" w:rsidP="00BC68C2">
            <w:pPr>
              <w:pStyle w:val="NormalWeb"/>
              <w:spacing w:before="0" w:beforeAutospacing="0" w:after="0" w:afterAutospacing="0"/>
              <w:jc w:val="center"/>
              <w:textAlignment w:val="center"/>
              <w:rPr>
                <w:rFonts w:asciiTheme="minorHAnsi" w:hAnsiTheme="minorHAnsi" w:cs="Arial"/>
                <w:color w:val="23304D"/>
                <w:kern w:val="24"/>
                <w:sz w:val="20"/>
                <w:szCs w:val="20"/>
                <w:lang w:val="pt-BR"/>
              </w:rPr>
            </w:pPr>
            <w:r w:rsidRPr="0091203C">
              <w:rPr>
                <w:rFonts w:asciiTheme="minorHAnsi" w:hAnsiTheme="minorHAnsi" w:cs="Arial"/>
                <w:color w:val="23304D"/>
                <w:kern w:val="24"/>
                <w:sz w:val="20"/>
                <w:szCs w:val="20"/>
                <w:lang w:val="pt-BR"/>
              </w:rPr>
              <w:t>€</w:t>
            </w:r>
            <w:r>
              <w:rPr>
                <w:rFonts w:asciiTheme="minorHAnsi" w:hAnsiTheme="minorHAnsi" w:cs="Arial"/>
                <w:color w:val="23304D"/>
                <w:kern w:val="24"/>
                <w:sz w:val="20"/>
                <w:szCs w:val="20"/>
              </w:rPr>
              <w:t>16</w:t>
            </w:r>
            <w:r w:rsidRPr="0091203C">
              <w:rPr>
                <w:rFonts w:asciiTheme="minorHAnsi" w:hAnsiTheme="minorHAnsi" w:cs="Arial"/>
                <w:color w:val="23304D"/>
                <w:kern w:val="24"/>
                <w:sz w:val="20"/>
                <w:szCs w:val="20"/>
                <w:lang w:val="pt-BR"/>
              </w:rPr>
              <w:t xml:space="preserve"> </w:t>
            </w:r>
            <w:r>
              <w:rPr>
                <w:rFonts w:asciiTheme="minorHAnsi" w:hAnsiTheme="minorHAnsi" w:cs="Arial"/>
                <w:color w:val="23304D"/>
                <w:kern w:val="24"/>
                <w:sz w:val="20"/>
                <w:szCs w:val="20"/>
              </w:rPr>
              <w:t>εκατ.</w:t>
            </w:r>
          </w:p>
        </w:tc>
        <w:tc>
          <w:tcPr>
            <w:tcW w:w="1104" w:type="dxa"/>
            <w:vAlign w:val="center"/>
          </w:tcPr>
          <w:p w14:paraId="2C59144B" w14:textId="77777777" w:rsidR="008B4E8E" w:rsidRPr="00197671" w:rsidRDefault="008B4E8E" w:rsidP="00BC68C2">
            <w:pPr>
              <w:pStyle w:val="NormalWeb"/>
              <w:spacing w:before="0" w:beforeAutospacing="0" w:after="0" w:afterAutospacing="0"/>
              <w:jc w:val="center"/>
              <w:textAlignment w:val="center"/>
              <w:rPr>
                <w:rFonts w:asciiTheme="minorHAnsi" w:hAnsiTheme="minorHAnsi" w:cs="Arial"/>
                <w:color w:val="23304D"/>
                <w:kern w:val="24"/>
                <w:sz w:val="20"/>
                <w:szCs w:val="20"/>
                <w:lang w:val="pt-BR"/>
              </w:rPr>
            </w:pPr>
            <w:r w:rsidRPr="00197671">
              <w:rPr>
                <w:rFonts w:asciiTheme="minorHAnsi" w:hAnsiTheme="minorHAnsi" w:cs="Arial"/>
                <w:color w:val="23304D"/>
                <w:kern w:val="24"/>
                <w:sz w:val="20"/>
                <w:szCs w:val="20"/>
                <w:lang w:val="pt-BR"/>
              </w:rPr>
              <w:t>€</w:t>
            </w:r>
            <w:r>
              <w:rPr>
                <w:rFonts w:asciiTheme="minorHAnsi" w:hAnsiTheme="minorHAnsi" w:cs="Arial"/>
                <w:color w:val="23304D"/>
                <w:kern w:val="24"/>
                <w:sz w:val="20"/>
                <w:szCs w:val="20"/>
              </w:rPr>
              <w:t>17</w:t>
            </w:r>
            <w:r w:rsidRPr="00197671">
              <w:rPr>
                <w:rFonts w:asciiTheme="minorHAnsi" w:hAnsiTheme="minorHAnsi" w:cs="Arial"/>
                <w:color w:val="23304D"/>
                <w:kern w:val="24"/>
                <w:sz w:val="20"/>
                <w:szCs w:val="20"/>
                <w:lang w:val="pt-BR"/>
              </w:rPr>
              <w:t xml:space="preserve"> </w:t>
            </w:r>
            <w:r>
              <w:rPr>
                <w:rFonts w:asciiTheme="minorHAnsi" w:hAnsiTheme="minorHAnsi" w:cs="Arial"/>
                <w:color w:val="23304D"/>
                <w:kern w:val="24"/>
                <w:sz w:val="20"/>
                <w:szCs w:val="20"/>
              </w:rPr>
              <w:t>εκατ.</w:t>
            </w:r>
          </w:p>
        </w:tc>
        <w:tc>
          <w:tcPr>
            <w:tcW w:w="1104" w:type="dxa"/>
            <w:tcMar>
              <w:top w:w="15" w:type="dxa"/>
              <w:left w:w="15" w:type="dxa"/>
              <w:bottom w:w="0" w:type="dxa"/>
              <w:right w:w="15" w:type="dxa"/>
            </w:tcMar>
            <w:vAlign w:val="center"/>
          </w:tcPr>
          <w:p w14:paraId="706C4DBF" w14:textId="77777777" w:rsidR="008B4E8E" w:rsidRPr="00E81C61" w:rsidRDefault="008B4E8E" w:rsidP="00BC68C2">
            <w:pPr>
              <w:spacing w:after="0" w:line="240" w:lineRule="auto"/>
              <w:jc w:val="center"/>
              <w:rPr>
                <w:sz w:val="20"/>
                <w:szCs w:val="20"/>
                <w:lang w:val="en-GB"/>
              </w:rPr>
            </w:pPr>
            <w:r w:rsidRPr="00CB7615">
              <w:rPr>
                <w:rFonts w:cs="Arial"/>
                <w:color w:val="23304D"/>
                <w:kern w:val="24"/>
                <w:sz w:val="20"/>
                <w:szCs w:val="20"/>
              </w:rPr>
              <w:t>+</w:t>
            </w:r>
            <w:r>
              <w:rPr>
                <w:rFonts w:cs="Arial"/>
                <w:color w:val="23304D"/>
                <w:kern w:val="24"/>
                <w:sz w:val="20"/>
                <w:szCs w:val="20"/>
              </w:rPr>
              <w:t>6</w:t>
            </w:r>
            <w:r w:rsidRPr="00CB7615">
              <w:rPr>
                <w:rFonts w:cs="Arial"/>
                <w:color w:val="23304D"/>
                <w:kern w:val="24"/>
                <w:sz w:val="20"/>
                <w:szCs w:val="20"/>
              </w:rPr>
              <w:t>%</w:t>
            </w:r>
          </w:p>
        </w:tc>
        <w:tc>
          <w:tcPr>
            <w:tcW w:w="2706" w:type="dxa"/>
            <w:tcMar>
              <w:top w:w="15" w:type="dxa"/>
              <w:left w:w="15" w:type="dxa"/>
              <w:bottom w:w="0" w:type="dxa"/>
              <w:right w:w="15" w:type="dxa"/>
            </w:tcMar>
            <w:vAlign w:val="center"/>
          </w:tcPr>
          <w:p w14:paraId="05EF83B0" w14:textId="77777777" w:rsidR="008B4E8E" w:rsidRPr="00885536" w:rsidRDefault="008B4E8E" w:rsidP="00BC68C2">
            <w:pPr>
              <w:spacing w:after="0" w:line="240" w:lineRule="auto"/>
              <w:jc w:val="center"/>
              <w:rPr>
                <w:color w:val="002060"/>
                <w:sz w:val="20"/>
                <w:szCs w:val="20"/>
                <w:lang w:val="en-GB"/>
              </w:rPr>
            </w:pPr>
            <w:r w:rsidRPr="00885536">
              <w:rPr>
                <w:color w:val="002060"/>
                <w:sz w:val="20"/>
                <w:szCs w:val="20"/>
                <w:lang w:val="en-GB"/>
              </w:rPr>
              <w:t xml:space="preserve">H1 2025: €2 </w:t>
            </w:r>
            <w:r>
              <w:rPr>
                <w:rFonts w:cs="Arial"/>
                <w:color w:val="23304D"/>
                <w:kern w:val="24"/>
                <w:sz w:val="20"/>
                <w:szCs w:val="20"/>
              </w:rPr>
              <w:t>εκατ.</w:t>
            </w:r>
          </w:p>
          <w:p w14:paraId="509BAE9C" w14:textId="77777777" w:rsidR="008B4E8E" w:rsidRPr="00E81C61" w:rsidRDefault="008B4E8E" w:rsidP="00BC68C2">
            <w:pPr>
              <w:spacing w:after="0" w:line="240" w:lineRule="auto"/>
              <w:jc w:val="center"/>
              <w:rPr>
                <w:sz w:val="20"/>
                <w:szCs w:val="20"/>
                <w:lang w:val="en-GB"/>
              </w:rPr>
            </w:pPr>
            <w:r w:rsidRPr="00885536">
              <w:rPr>
                <w:color w:val="002060"/>
                <w:sz w:val="20"/>
                <w:szCs w:val="20"/>
                <w:lang w:val="en-GB"/>
              </w:rPr>
              <w:t xml:space="preserve">H2 2025: €15 </w:t>
            </w:r>
            <w:r>
              <w:rPr>
                <w:rFonts w:cs="Arial"/>
                <w:color w:val="23304D"/>
                <w:kern w:val="24"/>
                <w:sz w:val="20"/>
                <w:szCs w:val="20"/>
              </w:rPr>
              <w:t>εκατ.</w:t>
            </w:r>
          </w:p>
        </w:tc>
      </w:tr>
      <w:tr w:rsidR="008B4E8E" w:rsidRPr="00E81C61" w14:paraId="09D90529" w14:textId="77777777" w:rsidTr="00366F3F">
        <w:trPr>
          <w:trHeight w:val="174"/>
        </w:trPr>
        <w:tc>
          <w:tcPr>
            <w:tcW w:w="2145" w:type="dxa"/>
            <w:tcMar>
              <w:top w:w="15" w:type="dxa"/>
              <w:left w:w="15" w:type="dxa"/>
              <w:bottom w:w="0" w:type="dxa"/>
              <w:right w:w="15" w:type="dxa"/>
            </w:tcMar>
            <w:vAlign w:val="center"/>
          </w:tcPr>
          <w:p w14:paraId="635AC5FA" w14:textId="77777777" w:rsidR="008B4E8E" w:rsidRPr="008B4E8E" w:rsidRDefault="008B4E8E" w:rsidP="00BC68C2">
            <w:pPr>
              <w:rPr>
                <w:lang w:val="el-GR" w:eastAsia="el-GR"/>
              </w:rPr>
            </w:pPr>
            <w:r w:rsidRPr="008B4E8E">
              <w:rPr>
                <w:b/>
                <w:bCs/>
                <w:color w:val="23304D"/>
                <w:sz w:val="20"/>
                <w:szCs w:val="20"/>
                <w:lang w:val="el-GR"/>
              </w:rPr>
              <w:t>Προσαρμοσμένα Αποδιδόμενα Καθαρά Κέρδη (στους Μετόχους του ομίλου)</w:t>
            </w:r>
          </w:p>
          <w:p w14:paraId="2C69EB1A" w14:textId="77777777" w:rsidR="008B4E8E" w:rsidRPr="008B4E8E" w:rsidRDefault="008B4E8E" w:rsidP="00BC68C2">
            <w:pPr>
              <w:rPr>
                <w:rFonts w:eastAsia="Times New Roman" w:cs="Arial"/>
                <w:b/>
                <w:bCs/>
                <w:color w:val="23304D"/>
                <w:kern w:val="24"/>
                <w:sz w:val="20"/>
                <w:szCs w:val="20"/>
                <w:lang w:val="el-GR" w:eastAsia="el-GR"/>
              </w:rPr>
            </w:pPr>
          </w:p>
        </w:tc>
        <w:tc>
          <w:tcPr>
            <w:tcW w:w="1305" w:type="dxa"/>
            <w:tcMar>
              <w:top w:w="15" w:type="dxa"/>
              <w:left w:w="15" w:type="dxa"/>
              <w:bottom w:w="0" w:type="dxa"/>
              <w:right w:w="15" w:type="dxa"/>
            </w:tcMar>
            <w:vAlign w:val="center"/>
          </w:tcPr>
          <w:p w14:paraId="766D11C5" w14:textId="77777777" w:rsidR="008B4E8E" w:rsidRPr="00822636" w:rsidRDefault="008B4E8E" w:rsidP="00BC68C2">
            <w:pPr>
              <w:pStyle w:val="NormalWeb"/>
              <w:spacing w:before="0" w:beforeAutospacing="0" w:after="0" w:afterAutospacing="0"/>
              <w:jc w:val="center"/>
              <w:textAlignment w:val="center"/>
              <w:rPr>
                <w:rFonts w:asciiTheme="minorHAnsi" w:hAnsiTheme="minorHAnsi" w:cs="Arial"/>
                <w:color w:val="23304D"/>
                <w:kern w:val="24"/>
                <w:sz w:val="20"/>
                <w:szCs w:val="20"/>
                <w:lang w:val="en-GB"/>
              </w:rPr>
            </w:pPr>
            <w:r w:rsidRPr="0091203C">
              <w:rPr>
                <w:rFonts w:asciiTheme="minorHAnsi" w:hAnsiTheme="minorHAnsi" w:cs="Arial"/>
                <w:color w:val="23304D"/>
                <w:kern w:val="24"/>
                <w:sz w:val="20"/>
                <w:szCs w:val="20"/>
                <w:lang w:val="pt-BR"/>
              </w:rPr>
              <w:t>€</w:t>
            </w:r>
            <w:r>
              <w:rPr>
                <w:rFonts w:asciiTheme="minorHAnsi" w:hAnsiTheme="minorHAnsi" w:cs="Arial"/>
                <w:color w:val="23304D"/>
                <w:kern w:val="24"/>
                <w:sz w:val="20"/>
                <w:szCs w:val="20"/>
                <w:lang w:val="pt-BR"/>
              </w:rPr>
              <w:t>15</w:t>
            </w:r>
            <w:r w:rsidRPr="0091203C">
              <w:rPr>
                <w:rFonts w:asciiTheme="minorHAnsi" w:hAnsiTheme="minorHAnsi" w:cs="Arial"/>
                <w:color w:val="23304D"/>
                <w:kern w:val="24"/>
                <w:sz w:val="20"/>
                <w:szCs w:val="20"/>
                <w:lang w:val="pt-BR"/>
              </w:rPr>
              <w:t xml:space="preserve"> </w:t>
            </w:r>
            <w:r>
              <w:rPr>
                <w:rFonts w:asciiTheme="minorHAnsi" w:hAnsiTheme="minorHAnsi" w:cs="Arial"/>
                <w:color w:val="23304D"/>
                <w:kern w:val="24"/>
                <w:sz w:val="20"/>
                <w:szCs w:val="20"/>
              </w:rPr>
              <w:t>εκατ.</w:t>
            </w:r>
          </w:p>
        </w:tc>
        <w:tc>
          <w:tcPr>
            <w:tcW w:w="1104" w:type="dxa"/>
            <w:vAlign w:val="center"/>
          </w:tcPr>
          <w:p w14:paraId="514F9DCA" w14:textId="77777777" w:rsidR="008B4E8E" w:rsidRPr="00822636" w:rsidRDefault="008B4E8E" w:rsidP="00BC68C2">
            <w:pPr>
              <w:pStyle w:val="NormalWeb"/>
              <w:spacing w:before="0" w:beforeAutospacing="0" w:after="0" w:afterAutospacing="0"/>
              <w:jc w:val="center"/>
              <w:textAlignment w:val="center"/>
              <w:rPr>
                <w:rFonts w:asciiTheme="minorHAnsi" w:hAnsiTheme="minorHAnsi" w:cs="Arial"/>
                <w:color w:val="23304D"/>
                <w:kern w:val="24"/>
                <w:sz w:val="20"/>
                <w:szCs w:val="20"/>
                <w:lang w:val="en-GB"/>
              </w:rPr>
            </w:pPr>
            <w:r w:rsidRPr="00197671">
              <w:rPr>
                <w:rFonts w:asciiTheme="minorHAnsi" w:hAnsiTheme="minorHAnsi" w:cs="Arial"/>
                <w:color w:val="23304D"/>
                <w:kern w:val="24"/>
                <w:sz w:val="20"/>
                <w:szCs w:val="20"/>
                <w:lang w:val="pt-BR"/>
              </w:rPr>
              <w:t>€</w:t>
            </w:r>
            <w:r>
              <w:rPr>
                <w:rFonts w:asciiTheme="minorHAnsi" w:hAnsiTheme="minorHAnsi" w:cs="Arial"/>
                <w:color w:val="23304D"/>
                <w:kern w:val="24"/>
                <w:sz w:val="20"/>
                <w:szCs w:val="20"/>
                <w:lang w:val="pt-BR"/>
              </w:rPr>
              <w:t>7</w:t>
            </w:r>
            <w:r w:rsidRPr="00197671">
              <w:rPr>
                <w:rFonts w:asciiTheme="minorHAnsi" w:hAnsiTheme="minorHAnsi" w:cs="Arial"/>
                <w:color w:val="23304D"/>
                <w:kern w:val="24"/>
                <w:sz w:val="20"/>
                <w:szCs w:val="20"/>
                <w:lang w:val="pt-BR"/>
              </w:rPr>
              <w:t xml:space="preserve"> </w:t>
            </w:r>
            <w:r>
              <w:rPr>
                <w:rFonts w:asciiTheme="minorHAnsi" w:hAnsiTheme="minorHAnsi" w:cs="Arial"/>
                <w:color w:val="23304D"/>
                <w:kern w:val="24"/>
                <w:sz w:val="20"/>
                <w:szCs w:val="20"/>
              </w:rPr>
              <w:t>εκατ.</w:t>
            </w:r>
          </w:p>
        </w:tc>
        <w:tc>
          <w:tcPr>
            <w:tcW w:w="1104" w:type="dxa"/>
            <w:tcMar>
              <w:top w:w="15" w:type="dxa"/>
              <w:left w:w="15" w:type="dxa"/>
              <w:bottom w:w="0" w:type="dxa"/>
              <w:right w:w="15" w:type="dxa"/>
            </w:tcMar>
            <w:vAlign w:val="center"/>
          </w:tcPr>
          <w:p w14:paraId="76652585" w14:textId="77777777" w:rsidR="008B4E8E" w:rsidRPr="00822636" w:rsidRDefault="008B4E8E" w:rsidP="00BC68C2">
            <w:pPr>
              <w:spacing w:after="0" w:line="240" w:lineRule="auto"/>
              <w:jc w:val="center"/>
              <w:rPr>
                <w:rFonts w:cs="Arial"/>
                <w:color w:val="23304D"/>
                <w:kern w:val="24"/>
                <w:sz w:val="20"/>
                <w:szCs w:val="20"/>
                <w:lang w:val="en-GB"/>
              </w:rPr>
            </w:pPr>
            <w:r>
              <w:rPr>
                <w:rFonts w:cs="Arial"/>
                <w:color w:val="23304D"/>
                <w:kern w:val="24"/>
                <w:sz w:val="20"/>
                <w:szCs w:val="20"/>
                <w:lang w:val="en-GB"/>
              </w:rPr>
              <w:t>-52</w:t>
            </w:r>
            <w:r w:rsidRPr="00CB7615">
              <w:rPr>
                <w:rFonts w:cs="Arial"/>
                <w:color w:val="23304D"/>
                <w:kern w:val="24"/>
                <w:sz w:val="20"/>
                <w:szCs w:val="20"/>
              </w:rPr>
              <w:t>%</w:t>
            </w:r>
          </w:p>
        </w:tc>
        <w:tc>
          <w:tcPr>
            <w:tcW w:w="2706" w:type="dxa"/>
            <w:tcMar>
              <w:top w:w="15" w:type="dxa"/>
              <w:left w:w="15" w:type="dxa"/>
              <w:bottom w:w="0" w:type="dxa"/>
              <w:right w:w="15" w:type="dxa"/>
            </w:tcMar>
            <w:vAlign w:val="center"/>
          </w:tcPr>
          <w:p w14:paraId="215D6909" w14:textId="77777777" w:rsidR="008B4E8E" w:rsidRPr="00885536" w:rsidRDefault="008B4E8E" w:rsidP="00BC68C2">
            <w:pPr>
              <w:spacing w:after="0" w:line="240" w:lineRule="auto"/>
              <w:jc w:val="center"/>
              <w:rPr>
                <w:color w:val="002060"/>
                <w:sz w:val="20"/>
                <w:szCs w:val="20"/>
                <w:lang w:val="en-GB"/>
              </w:rPr>
            </w:pPr>
            <w:r w:rsidRPr="00885536">
              <w:rPr>
                <w:color w:val="002060"/>
                <w:sz w:val="20"/>
                <w:szCs w:val="20"/>
                <w:lang w:val="en-GB"/>
              </w:rPr>
              <w:t xml:space="preserve">H1 2025: €(2) </w:t>
            </w:r>
            <w:r>
              <w:rPr>
                <w:rFonts w:cs="Arial"/>
                <w:color w:val="23304D"/>
                <w:kern w:val="24"/>
                <w:sz w:val="20"/>
                <w:szCs w:val="20"/>
              </w:rPr>
              <w:t>εκατ.</w:t>
            </w:r>
          </w:p>
          <w:p w14:paraId="179352B7" w14:textId="77777777" w:rsidR="008B4E8E" w:rsidRPr="00E81C61" w:rsidRDefault="008B4E8E" w:rsidP="00BC68C2">
            <w:pPr>
              <w:spacing w:after="0" w:line="240" w:lineRule="auto"/>
              <w:jc w:val="center"/>
              <w:rPr>
                <w:sz w:val="20"/>
                <w:szCs w:val="20"/>
                <w:lang w:val="en-GB"/>
              </w:rPr>
            </w:pPr>
            <w:r w:rsidRPr="00885536">
              <w:rPr>
                <w:color w:val="002060"/>
                <w:sz w:val="20"/>
                <w:szCs w:val="20"/>
                <w:lang w:val="en-GB"/>
              </w:rPr>
              <w:t xml:space="preserve">H2 2025: €9 </w:t>
            </w:r>
            <w:r>
              <w:rPr>
                <w:rFonts w:cs="Arial"/>
                <w:color w:val="23304D"/>
                <w:kern w:val="24"/>
                <w:sz w:val="20"/>
                <w:szCs w:val="20"/>
              </w:rPr>
              <w:t>εκατ.</w:t>
            </w:r>
          </w:p>
        </w:tc>
      </w:tr>
    </w:tbl>
    <w:p w14:paraId="65A79EBA" w14:textId="77777777" w:rsidR="008B4E8E" w:rsidRDefault="008B4E8E" w:rsidP="008B4E8E">
      <w:pPr>
        <w:rPr>
          <w:sz w:val="20"/>
          <w:szCs w:val="20"/>
        </w:rPr>
      </w:pPr>
    </w:p>
    <w:p w14:paraId="6A81458C" w14:textId="77777777" w:rsidR="008B4E8E" w:rsidRDefault="008B4E8E" w:rsidP="008B4E8E">
      <w:pPr>
        <w:rPr>
          <w:sz w:val="20"/>
          <w:szCs w:val="20"/>
        </w:rPr>
      </w:pPr>
    </w:p>
    <w:p w14:paraId="7C55EEFC" w14:textId="77777777" w:rsidR="008B4E8E" w:rsidRDefault="008B4E8E" w:rsidP="008B4E8E">
      <w:pPr>
        <w:rPr>
          <w:lang w:eastAsia="el-GR"/>
        </w:rPr>
      </w:pPr>
      <w:r>
        <w:rPr>
          <w:b/>
          <w:bCs/>
          <w:sz w:val="20"/>
          <w:szCs w:val="20"/>
        </w:rPr>
        <w:t>Τομείς Δραστηριότητας</w:t>
      </w:r>
    </w:p>
    <w:tbl>
      <w:tblPr>
        <w:tblW w:w="8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867"/>
        <w:gridCol w:w="1060"/>
        <w:gridCol w:w="1418"/>
        <w:gridCol w:w="1548"/>
        <w:gridCol w:w="982"/>
        <w:gridCol w:w="1431"/>
      </w:tblGrid>
      <w:tr w:rsidR="008B4E8E" w:rsidRPr="00CB7615" w14:paraId="1C350060" w14:textId="77777777" w:rsidTr="00366F3F">
        <w:trPr>
          <w:trHeight w:val="553"/>
        </w:trPr>
        <w:tc>
          <w:tcPr>
            <w:tcW w:w="2098" w:type="dxa"/>
            <w:tcMar>
              <w:top w:w="15" w:type="dxa"/>
              <w:left w:w="15" w:type="dxa"/>
              <w:bottom w:w="0" w:type="dxa"/>
              <w:right w:w="15" w:type="dxa"/>
            </w:tcMar>
            <w:vAlign w:val="center"/>
            <w:hideMark/>
          </w:tcPr>
          <w:p w14:paraId="07BE45AB" w14:textId="77777777" w:rsidR="008B4E8E" w:rsidRPr="00CB7615" w:rsidRDefault="008B4E8E" w:rsidP="00BC68C2">
            <w:pPr>
              <w:rPr>
                <w:sz w:val="20"/>
                <w:szCs w:val="20"/>
              </w:rPr>
            </w:pPr>
          </w:p>
        </w:tc>
        <w:tc>
          <w:tcPr>
            <w:tcW w:w="3903" w:type="dxa"/>
            <w:gridSpan w:val="3"/>
            <w:vAlign w:val="center"/>
          </w:tcPr>
          <w:p w14:paraId="29835803" w14:textId="77777777" w:rsidR="008B4E8E" w:rsidRPr="00CB7615" w:rsidRDefault="008B4E8E" w:rsidP="00BC68C2">
            <w:pPr>
              <w:pStyle w:val="NormalWeb"/>
              <w:spacing w:before="0" w:beforeAutospacing="0" w:after="0" w:afterAutospacing="0"/>
              <w:jc w:val="center"/>
              <w:textAlignment w:val="center"/>
              <w:rPr>
                <w:rFonts w:asciiTheme="minorHAnsi" w:hAnsiTheme="minorHAnsi" w:cs="Arial"/>
                <w:sz w:val="20"/>
                <w:szCs w:val="20"/>
              </w:rPr>
            </w:pPr>
            <w:r>
              <w:rPr>
                <w:rFonts w:asciiTheme="minorHAnsi" w:hAnsiTheme="minorHAnsi" w:cs="Arial"/>
                <w:b/>
                <w:bCs/>
                <w:color w:val="23304D"/>
                <w:kern w:val="24"/>
                <w:sz w:val="20"/>
                <w:szCs w:val="20"/>
                <w:lang w:val="pt-BR"/>
              </w:rPr>
              <w:t>FY</w:t>
            </w:r>
            <w:r w:rsidRPr="00CB7615">
              <w:rPr>
                <w:rFonts w:asciiTheme="minorHAnsi" w:hAnsiTheme="minorHAnsi" w:cs="Arial"/>
                <w:b/>
                <w:bCs/>
                <w:color w:val="23304D"/>
                <w:kern w:val="24"/>
                <w:sz w:val="20"/>
                <w:szCs w:val="20"/>
                <w:lang w:val="pt-BR"/>
              </w:rPr>
              <w:t xml:space="preserve"> 2025</w:t>
            </w:r>
          </w:p>
        </w:tc>
        <w:tc>
          <w:tcPr>
            <w:tcW w:w="2305" w:type="dxa"/>
            <w:gridSpan w:val="2"/>
            <w:vAlign w:val="center"/>
          </w:tcPr>
          <w:p w14:paraId="2ED428FB" w14:textId="77777777" w:rsidR="008B4E8E" w:rsidRPr="00CB7615" w:rsidRDefault="008B4E8E" w:rsidP="00BC68C2">
            <w:pPr>
              <w:pStyle w:val="NormalWeb"/>
              <w:spacing w:before="0" w:beforeAutospacing="0" w:after="0" w:afterAutospacing="0"/>
              <w:jc w:val="center"/>
              <w:textAlignment w:val="center"/>
              <w:rPr>
                <w:rFonts w:asciiTheme="minorHAnsi" w:hAnsiTheme="minorHAnsi" w:cs="Arial"/>
                <w:sz w:val="20"/>
                <w:szCs w:val="20"/>
              </w:rPr>
            </w:pPr>
            <w:r w:rsidRPr="00CB7615">
              <w:rPr>
                <w:rFonts w:asciiTheme="minorHAnsi" w:hAnsiTheme="minorHAnsi" w:cs="Arial"/>
                <w:b/>
                <w:bCs/>
                <w:color w:val="23304D"/>
                <w:kern w:val="24"/>
                <w:sz w:val="20"/>
                <w:szCs w:val="20"/>
                <w:lang w:val="pt-BR"/>
              </w:rPr>
              <w:t>YoY [%]</w:t>
            </w:r>
          </w:p>
        </w:tc>
      </w:tr>
      <w:tr w:rsidR="008B4E8E" w:rsidRPr="00CB7615" w14:paraId="7C051B63" w14:textId="77777777" w:rsidTr="00366F3F">
        <w:trPr>
          <w:trHeight w:val="553"/>
        </w:trPr>
        <w:tc>
          <w:tcPr>
            <w:tcW w:w="2098" w:type="dxa"/>
            <w:tcMar>
              <w:top w:w="15" w:type="dxa"/>
              <w:left w:w="15" w:type="dxa"/>
              <w:bottom w:w="0" w:type="dxa"/>
              <w:right w:w="15" w:type="dxa"/>
            </w:tcMar>
            <w:vAlign w:val="center"/>
          </w:tcPr>
          <w:p w14:paraId="385C1886" w14:textId="77777777" w:rsidR="008B4E8E" w:rsidRPr="00CB7615" w:rsidRDefault="008B4E8E" w:rsidP="00BC68C2">
            <w:pPr>
              <w:rPr>
                <w:sz w:val="20"/>
                <w:szCs w:val="20"/>
              </w:rPr>
            </w:pPr>
          </w:p>
        </w:tc>
        <w:tc>
          <w:tcPr>
            <w:tcW w:w="1272" w:type="dxa"/>
            <w:vAlign w:val="center"/>
          </w:tcPr>
          <w:p w14:paraId="4025A89E" w14:textId="77777777" w:rsidR="008B4E8E" w:rsidRDefault="008B4E8E" w:rsidP="00BC68C2">
            <w:pPr>
              <w:spacing w:after="0"/>
              <w:jc w:val="center"/>
              <w:textAlignment w:val="center"/>
              <w:rPr>
                <w:lang w:eastAsia="el-GR"/>
              </w:rPr>
            </w:pPr>
            <w:r>
              <w:rPr>
                <w:b/>
                <w:bCs/>
                <w:color w:val="23304D"/>
                <w:sz w:val="20"/>
                <w:szCs w:val="20"/>
              </w:rPr>
              <w:t>Έσοδα</w:t>
            </w:r>
            <w:r>
              <w:rPr>
                <w:b/>
                <w:bCs/>
                <w:color w:val="23304D"/>
                <w:sz w:val="20"/>
                <w:szCs w:val="20"/>
                <w:vertAlign w:val="superscript"/>
              </w:rPr>
              <w:t>1</w:t>
            </w:r>
          </w:p>
          <w:p w14:paraId="7FC28A5D" w14:textId="77777777" w:rsidR="008B4E8E" w:rsidRPr="00CB7615" w:rsidRDefault="008B4E8E" w:rsidP="00BC68C2">
            <w:pPr>
              <w:pStyle w:val="NormalWeb"/>
              <w:spacing w:before="0" w:beforeAutospacing="0" w:after="0" w:afterAutospacing="0"/>
              <w:jc w:val="center"/>
              <w:textAlignment w:val="center"/>
              <w:rPr>
                <w:rFonts w:asciiTheme="minorHAnsi" w:hAnsiTheme="minorHAnsi" w:cs="Arial"/>
                <w:b/>
                <w:bCs/>
                <w:color w:val="23304D"/>
                <w:kern w:val="24"/>
                <w:sz w:val="20"/>
                <w:szCs w:val="20"/>
                <w:lang w:val="pt-BR"/>
              </w:rPr>
            </w:pPr>
          </w:p>
        </w:tc>
        <w:tc>
          <w:tcPr>
            <w:tcW w:w="1272" w:type="dxa"/>
            <w:vAlign w:val="center"/>
          </w:tcPr>
          <w:p w14:paraId="6543113C" w14:textId="77777777" w:rsidR="008B4E8E" w:rsidRDefault="008B4E8E" w:rsidP="00BC68C2">
            <w:pPr>
              <w:spacing w:after="0"/>
              <w:jc w:val="center"/>
              <w:textAlignment w:val="center"/>
              <w:rPr>
                <w:lang w:eastAsia="el-GR"/>
              </w:rPr>
            </w:pPr>
            <w:r>
              <w:rPr>
                <w:b/>
                <w:bCs/>
                <w:color w:val="23304D"/>
                <w:sz w:val="20"/>
                <w:szCs w:val="20"/>
              </w:rPr>
              <w:t>Προσαρμοσμένο EBITDA</w:t>
            </w:r>
          </w:p>
          <w:p w14:paraId="58F929F3" w14:textId="77777777" w:rsidR="008B4E8E" w:rsidRPr="00CB7615" w:rsidRDefault="008B4E8E" w:rsidP="00BC68C2">
            <w:pPr>
              <w:pStyle w:val="NormalWeb"/>
              <w:spacing w:before="0" w:beforeAutospacing="0" w:after="0" w:afterAutospacing="0"/>
              <w:jc w:val="center"/>
              <w:textAlignment w:val="center"/>
              <w:rPr>
                <w:rFonts w:asciiTheme="minorHAnsi" w:hAnsiTheme="minorHAnsi" w:cs="Arial"/>
                <w:b/>
                <w:bCs/>
                <w:color w:val="23304D"/>
                <w:kern w:val="24"/>
                <w:sz w:val="20"/>
                <w:szCs w:val="20"/>
                <w:lang w:val="pt-BR"/>
              </w:rPr>
            </w:pPr>
          </w:p>
        </w:tc>
        <w:tc>
          <w:tcPr>
            <w:tcW w:w="1359" w:type="dxa"/>
            <w:tcMar>
              <w:top w:w="15" w:type="dxa"/>
              <w:left w:w="15" w:type="dxa"/>
              <w:bottom w:w="0" w:type="dxa"/>
              <w:right w:w="15" w:type="dxa"/>
            </w:tcMar>
            <w:vAlign w:val="center"/>
          </w:tcPr>
          <w:p w14:paraId="69CB327B" w14:textId="77777777" w:rsidR="008B4E8E" w:rsidRDefault="008B4E8E" w:rsidP="00BC68C2">
            <w:pPr>
              <w:spacing w:after="0"/>
              <w:jc w:val="center"/>
              <w:textAlignment w:val="center"/>
              <w:rPr>
                <w:lang w:eastAsia="el-GR"/>
              </w:rPr>
            </w:pPr>
            <w:r>
              <w:rPr>
                <w:b/>
                <w:bCs/>
                <w:color w:val="23304D"/>
                <w:sz w:val="20"/>
                <w:szCs w:val="20"/>
              </w:rPr>
              <w:t>Περιθώριο Προσαρμοσμένου EBITDA</w:t>
            </w:r>
            <w:r>
              <w:rPr>
                <w:b/>
                <w:bCs/>
                <w:color w:val="23304D"/>
                <w:sz w:val="20"/>
                <w:szCs w:val="20"/>
                <w:vertAlign w:val="superscript"/>
              </w:rPr>
              <w:t>1</w:t>
            </w:r>
          </w:p>
          <w:p w14:paraId="335C8568" w14:textId="77777777" w:rsidR="008B4E8E" w:rsidRPr="00CB7615" w:rsidRDefault="008B4E8E" w:rsidP="00BC68C2">
            <w:pPr>
              <w:pStyle w:val="NormalWeb"/>
              <w:spacing w:before="0" w:beforeAutospacing="0" w:after="0" w:afterAutospacing="0"/>
              <w:jc w:val="center"/>
              <w:textAlignment w:val="center"/>
              <w:rPr>
                <w:rFonts w:asciiTheme="minorHAnsi" w:hAnsiTheme="minorHAnsi" w:cs="Arial"/>
                <w:b/>
                <w:bCs/>
                <w:color w:val="23304D"/>
                <w:kern w:val="24"/>
                <w:sz w:val="20"/>
                <w:szCs w:val="20"/>
                <w:lang w:val="pt-BR"/>
              </w:rPr>
            </w:pPr>
          </w:p>
        </w:tc>
        <w:tc>
          <w:tcPr>
            <w:tcW w:w="1157" w:type="dxa"/>
            <w:vAlign w:val="center"/>
          </w:tcPr>
          <w:p w14:paraId="7F76AFC2" w14:textId="77777777" w:rsidR="008B4E8E" w:rsidRDefault="008B4E8E" w:rsidP="00BC68C2">
            <w:pPr>
              <w:pStyle w:val="NormalWeb"/>
              <w:spacing w:before="0" w:beforeAutospacing="0" w:after="0" w:afterAutospacing="0"/>
              <w:jc w:val="center"/>
              <w:textAlignment w:val="center"/>
              <w:rPr>
                <w:rFonts w:asciiTheme="minorHAnsi" w:hAnsiTheme="minorHAnsi" w:cs="Arial"/>
                <w:b/>
                <w:bCs/>
                <w:color w:val="23304D"/>
                <w:kern w:val="24"/>
                <w:sz w:val="20"/>
                <w:szCs w:val="20"/>
                <w:lang w:val="pt-BR"/>
              </w:rPr>
            </w:pPr>
            <w:r>
              <w:rPr>
                <w:rFonts w:asciiTheme="minorHAnsi" w:hAnsiTheme="minorHAnsi" w:cs="Arial"/>
                <w:b/>
                <w:bCs/>
                <w:color w:val="23304D"/>
                <w:kern w:val="24"/>
                <w:sz w:val="20"/>
                <w:szCs w:val="20"/>
              </w:rPr>
              <w:t>Έσοδα</w:t>
            </w:r>
            <w:r w:rsidRPr="009B2348">
              <w:rPr>
                <w:rFonts w:asciiTheme="minorHAnsi" w:hAnsiTheme="minorHAnsi" w:cs="Arial"/>
                <w:b/>
                <w:bCs/>
                <w:color w:val="23304D"/>
                <w:kern w:val="24"/>
                <w:sz w:val="20"/>
                <w:szCs w:val="20"/>
                <w:vertAlign w:val="superscript"/>
                <w:lang w:val="pt-BR"/>
              </w:rPr>
              <w:t>2</w:t>
            </w:r>
          </w:p>
        </w:tc>
        <w:tc>
          <w:tcPr>
            <w:tcW w:w="1148" w:type="dxa"/>
            <w:tcMar>
              <w:top w:w="15" w:type="dxa"/>
              <w:left w:w="15" w:type="dxa"/>
              <w:bottom w:w="0" w:type="dxa"/>
              <w:right w:w="15" w:type="dxa"/>
            </w:tcMar>
            <w:vAlign w:val="center"/>
          </w:tcPr>
          <w:p w14:paraId="0741A289" w14:textId="77777777" w:rsidR="008B4E8E" w:rsidRPr="00CB7615" w:rsidRDefault="008B4E8E" w:rsidP="00BC68C2">
            <w:pPr>
              <w:pStyle w:val="NormalWeb"/>
              <w:spacing w:before="0" w:beforeAutospacing="0" w:after="0" w:afterAutospacing="0"/>
              <w:jc w:val="center"/>
              <w:textAlignment w:val="center"/>
              <w:rPr>
                <w:rFonts w:asciiTheme="minorHAnsi" w:hAnsiTheme="minorHAnsi" w:cs="Arial"/>
                <w:b/>
                <w:bCs/>
                <w:color w:val="23304D"/>
                <w:kern w:val="24"/>
                <w:sz w:val="20"/>
                <w:szCs w:val="20"/>
                <w:lang w:val="pt-BR"/>
              </w:rPr>
            </w:pPr>
            <w:r>
              <w:rPr>
                <w:b/>
                <w:bCs/>
                <w:color w:val="23304D"/>
                <w:sz w:val="20"/>
                <w:szCs w:val="20"/>
              </w:rPr>
              <w:t xml:space="preserve">Προσαρμοσμένο </w:t>
            </w:r>
            <w:r>
              <w:rPr>
                <w:rFonts w:asciiTheme="minorHAnsi" w:hAnsiTheme="minorHAnsi" w:cs="Arial"/>
                <w:b/>
                <w:bCs/>
                <w:color w:val="23304D"/>
                <w:kern w:val="24"/>
                <w:sz w:val="20"/>
                <w:szCs w:val="20"/>
                <w:lang w:val="pt-BR"/>
              </w:rPr>
              <w:t>EBITDA</w:t>
            </w:r>
          </w:p>
        </w:tc>
      </w:tr>
      <w:tr w:rsidR="008B4E8E" w:rsidRPr="00CB7615" w14:paraId="51392760" w14:textId="77777777" w:rsidTr="00366F3F">
        <w:trPr>
          <w:trHeight w:val="553"/>
        </w:trPr>
        <w:tc>
          <w:tcPr>
            <w:tcW w:w="2098" w:type="dxa"/>
            <w:tcMar>
              <w:top w:w="15" w:type="dxa"/>
              <w:left w:w="15" w:type="dxa"/>
              <w:bottom w:w="0" w:type="dxa"/>
              <w:right w:w="15" w:type="dxa"/>
            </w:tcMar>
            <w:vAlign w:val="center"/>
          </w:tcPr>
          <w:p w14:paraId="6AF898F4" w14:textId="77777777" w:rsidR="008B4E8E" w:rsidRDefault="008B4E8E" w:rsidP="00BC68C2">
            <w:pPr>
              <w:rPr>
                <w:lang w:eastAsia="el-GR"/>
              </w:rPr>
            </w:pPr>
            <w:r>
              <w:rPr>
                <w:b/>
                <w:bCs/>
                <w:color w:val="23304D"/>
                <w:sz w:val="20"/>
                <w:szCs w:val="20"/>
              </w:rPr>
              <w:t>Λογισμικό &amp; Τεχνολογία</w:t>
            </w:r>
          </w:p>
          <w:p w14:paraId="5E10A95F" w14:textId="77777777" w:rsidR="008B4E8E" w:rsidRPr="00C33C71" w:rsidRDefault="008B4E8E" w:rsidP="00BC68C2">
            <w:pPr>
              <w:rPr>
                <w:rFonts w:eastAsia="Times New Roman" w:cs="Arial"/>
                <w:b/>
                <w:bCs/>
                <w:color w:val="23304D"/>
                <w:kern w:val="24"/>
                <w:sz w:val="20"/>
                <w:szCs w:val="20"/>
                <w:lang w:eastAsia="el-GR"/>
              </w:rPr>
            </w:pPr>
          </w:p>
        </w:tc>
        <w:tc>
          <w:tcPr>
            <w:tcW w:w="1272" w:type="dxa"/>
            <w:vAlign w:val="center"/>
          </w:tcPr>
          <w:p w14:paraId="403E8E88" w14:textId="77777777" w:rsidR="008B4E8E" w:rsidRPr="00CB7615" w:rsidRDefault="008B4E8E" w:rsidP="00BC68C2">
            <w:pPr>
              <w:pStyle w:val="NormalWeb"/>
              <w:spacing w:before="0" w:beforeAutospacing="0" w:after="0" w:afterAutospacing="0"/>
              <w:jc w:val="center"/>
              <w:textAlignment w:val="center"/>
              <w:rPr>
                <w:rFonts w:asciiTheme="minorHAnsi" w:hAnsiTheme="minorHAnsi" w:cs="Arial"/>
                <w:b/>
                <w:bCs/>
                <w:color w:val="23304D"/>
                <w:kern w:val="24"/>
                <w:sz w:val="20"/>
                <w:szCs w:val="20"/>
                <w:lang w:val="pt-BR"/>
              </w:rPr>
            </w:pPr>
            <w:r w:rsidRPr="007E2B2B">
              <w:rPr>
                <w:rFonts w:asciiTheme="minorHAnsi" w:hAnsiTheme="minorHAnsi" w:cs="Arial"/>
                <w:color w:val="23304D"/>
                <w:kern w:val="24"/>
                <w:sz w:val="20"/>
                <w:szCs w:val="20"/>
                <w:lang w:val="pt-BR"/>
              </w:rPr>
              <w:t>€</w:t>
            </w:r>
            <w:r>
              <w:rPr>
                <w:rFonts w:asciiTheme="minorHAnsi" w:hAnsiTheme="minorHAnsi" w:cs="Arial"/>
                <w:color w:val="23304D"/>
                <w:kern w:val="24"/>
                <w:sz w:val="20"/>
                <w:szCs w:val="20"/>
                <w:lang w:val="pt-BR"/>
              </w:rPr>
              <w:t>87</w:t>
            </w:r>
            <w:r w:rsidRPr="007E2B2B">
              <w:rPr>
                <w:rFonts w:asciiTheme="minorHAnsi" w:hAnsiTheme="minorHAnsi" w:cs="Arial"/>
                <w:color w:val="23304D"/>
                <w:kern w:val="24"/>
                <w:sz w:val="20"/>
                <w:szCs w:val="20"/>
                <w:lang w:val="pt-BR"/>
              </w:rPr>
              <w:t xml:space="preserve"> </w:t>
            </w:r>
            <w:r>
              <w:rPr>
                <w:rFonts w:asciiTheme="minorHAnsi" w:hAnsiTheme="minorHAnsi" w:cs="Arial"/>
                <w:color w:val="23304D"/>
                <w:kern w:val="24"/>
                <w:sz w:val="20"/>
                <w:szCs w:val="20"/>
              </w:rPr>
              <w:t>εκατ.</w:t>
            </w:r>
          </w:p>
        </w:tc>
        <w:tc>
          <w:tcPr>
            <w:tcW w:w="1272" w:type="dxa"/>
            <w:vAlign w:val="center"/>
          </w:tcPr>
          <w:p w14:paraId="3AEEDC43" w14:textId="77777777" w:rsidR="008B4E8E" w:rsidRPr="00CB7615" w:rsidRDefault="008B4E8E" w:rsidP="00BC68C2">
            <w:pPr>
              <w:pStyle w:val="NormalWeb"/>
              <w:spacing w:before="0" w:beforeAutospacing="0" w:after="0" w:afterAutospacing="0"/>
              <w:jc w:val="center"/>
              <w:textAlignment w:val="center"/>
              <w:rPr>
                <w:rFonts w:asciiTheme="minorHAnsi" w:hAnsiTheme="minorHAnsi" w:cs="Arial"/>
                <w:b/>
                <w:bCs/>
                <w:color w:val="23304D"/>
                <w:kern w:val="24"/>
                <w:sz w:val="20"/>
                <w:szCs w:val="20"/>
                <w:lang w:val="pt-BR"/>
              </w:rPr>
            </w:pPr>
            <w:r w:rsidRPr="007E2B2B">
              <w:rPr>
                <w:rFonts w:asciiTheme="minorHAnsi" w:hAnsiTheme="minorHAnsi" w:cs="Arial"/>
                <w:color w:val="23304D"/>
                <w:kern w:val="24"/>
                <w:sz w:val="20"/>
                <w:szCs w:val="20"/>
                <w:lang w:val="pt-BR"/>
              </w:rPr>
              <w:t>€</w:t>
            </w:r>
            <w:r>
              <w:rPr>
                <w:rFonts w:asciiTheme="minorHAnsi" w:hAnsiTheme="minorHAnsi" w:cs="Arial"/>
                <w:color w:val="23304D"/>
                <w:kern w:val="24"/>
                <w:sz w:val="20"/>
                <w:szCs w:val="20"/>
                <w:lang w:val="pt-BR"/>
              </w:rPr>
              <w:t>16</w:t>
            </w:r>
            <w:r w:rsidRPr="007E2B2B">
              <w:rPr>
                <w:rFonts w:asciiTheme="minorHAnsi" w:hAnsiTheme="minorHAnsi" w:cs="Arial"/>
                <w:color w:val="23304D"/>
                <w:kern w:val="24"/>
                <w:sz w:val="20"/>
                <w:szCs w:val="20"/>
                <w:lang w:val="pt-BR"/>
              </w:rPr>
              <w:t xml:space="preserve"> </w:t>
            </w:r>
            <w:r>
              <w:rPr>
                <w:rFonts w:asciiTheme="minorHAnsi" w:hAnsiTheme="minorHAnsi" w:cs="Arial"/>
                <w:color w:val="23304D"/>
                <w:kern w:val="24"/>
                <w:sz w:val="20"/>
                <w:szCs w:val="20"/>
              </w:rPr>
              <w:t>εκατ.</w:t>
            </w:r>
          </w:p>
        </w:tc>
        <w:tc>
          <w:tcPr>
            <w:tcW w:w="1359" w:type="dxa"/>
            <w:tcMar>
              <w:top w:w="15" w:type="dxa"/>
              <w:left w:w="15" w:type="dxa"/>
              <w:bottom w:w="0" w:type="dxa"/>
              <w:right w:w="15" w:type="dxa"/>
            </w:tcMar>
            <w:vAlign w:val="center"/>
          </w:tcPr>
          <w:p w14:paraId="7884BC8B" w14:textId="77777777" w:rsidR="008B4E8E" w:rsidRPr="00CB7615" w:rsidRDefault="008B4E8E" w:rsidP="00BC68C2">
            <w:pPr>
              <w:pStyle w:val="NormalWeb"/>
              <w:spacing w:before="0" w:beforeAutospacing="0" w:after="0" w:afterAutospacing="0"/>
              <w:jc w:val="center"/>
              <w:textAlignment w:val="center"/>
              <w:rPr>
                <w:rFonts w:asciiTheme="minorHAnsi" w:hAnsiTheme="minorHAnsi" w:cs="Arial"/>
                <w:b/>
                <w:bCs/>
                <w:color w:val="23304D"/>
                <w:kern w:val="24"/>
                <w:sz w:val="20"/>
                <w:szCs w:val="20"/>
                <w:lang w:val="pt-BR"/>
              </w:rPr>
            </w:pPr>
            <w:r w:rsidRPr="00CB7615">
              <w:rPr>
                <w:rFonts w:asciiTheme="minorHAnsi" w:hAnsiTheme="minorHAnsi" w:cs="Arial"/>
                <w:color w:val="23304D"/>
                <w:kern w:val="24"/>
                <w:sz w:val="20"/>
                <w:szCs w:val="20"/>
              </w:rPr>
              <w:t>1</w:t>
            </w:r>
            <w:r>
              <w:rPr>
                <w:rFonts w:asciiTheme="minorHAnsi" w:hAnsiTheme="minorHAnsi" w:cs="Arial"/>
                <w:color w:val="23304D"/>
                <w:kern w:val="24"/>
                <w:sz w:val="20"/>
                <w:szCs w:val="20"/>
                <w:lang w:val="en-GB"/>
              </w:rPr>
              <w:t>8</w:t>
            </w:r>
            <w:r w:rsidRPr="00CB7615">
              <w:rPr>
                <w:rFonts w:asciiTheme="minorHAnsi" w:hAnsiTheme="minorHAnsi" w:cs="Arial"/>
                <w:color w:val="23304D"/>
                <w:kern w:val="24"/>
                <w:sz w:val="20"/>
                <w:szCs w:val="20"/>
              </w:rPr>
              <w:t>%</w:t>
            </w:r>
          </w:p>
        </w:tc>
        <w:tc>
          <w:tcPr>
            <w:tcW w:w="1157" w:type="dxa"/>
            <w:vMerge w:val="restart"/>
            <w:vAlign w:val="center"/>
          </w:tcPr>
          <w:p w14:paraId="17422845" w14:textId="77777777" w:rsidR="008B4E8E" w:rsidRDefault="008B4E8E" w:rsidP="00BC68C2">
            <w:pPr>
              <w:pStyle w:val="NormalWeb"/>
              <w:spacing w:before="0" w:beforeAutospacing="0" w:after="0" w:afterAutospacing="0"/>
              <w:jc w:val="center"/>
              <w:textAlignment w:val="center"/>
              <w:rPr>
                <w:rFonts w:asciiTheme="minorHAnsi" w:hAnsiTheme="minorHAnsi" w:cs="Arial"/>
                <w:b/>
                <w:bCs/>
                <w:color w:val="23304D"/>
                <w:kern w:val="24"/>
                <w:sz w:val="20"/>
                <w:szCs w:val="20"/>
                <w:lang w:val="pt-BR"/>
              </w:rPr>
            </w:pPr>
            <w:r>
              <w:rPr>
                <w:rFonts w:asciiTheme="minorHAnsi" w:hAnsiTheme="minorHAnsi" w:cs="Arial"/>
                <w:color w:val="23304D"/>
                <w:kern w:val="24"/>
                <w:sz w:val="20"/>
                <w:szCs w:val="20"/>
                <w:lang w:val="en-GB"/>
              </w:rPr>
              <w:t>+20</w:t>
            </w:r>
            <w:r w:rsidRPr="00CB7615">
              <w:rPr>
                <w:rFonts w:asciiTheme="minorHAnsi" w:hAnsiTheme="minorHAnsi" w:cs="Arial"/>
                <w:color w:val="23304D"/>
                <w:kern w:val="24"/>
                <w:sz w:val="20"/>
                <w:szCs w:val="20"/>
              </w:rPr>
              <w:t>%</w:t>
            </w:r>
          </w:p>
        </w:tc>
        <w:tc>
          <w:tcPr>
            <w:tcW w:w="1148" w:type="dxa"/>
            <w:vMerge w:val="restart"/>
            <w:tcMar>
              <w:top w:w="15" w:type="dxa"/>
              <w:left w:w="15" w:type="dxa"/>
              <w:bottom w:w="0" w:type="dxa"/>
              <w:right w:w="15" w:type="dxa"/>
            </w:tcMar>
            <w:vAlign w:val="center"/>
          </w:tcPr>
          <w:p w14:paraId="600F97A3" w14:textId="77777777" w:rsidR="008B4E8E" w:rsidRPr="00CB7615" w:rsidRDefault="008B4E8E" w:rsidP="00BC68C2">
            <w:pPr>
              <w:pStyle w:val="NormalWeb"/>
              <w:spacing w:before="0" w:beforeAutospacing="0" w:after="0" w:afterAutospacing="0"/>
              <w:jc w:val="center"/>
              <w:textAlignment w:val="center"/>
              <w:rPr>
                <w:rFonts w:asciiTheme="minorHAnsi" w:hAnsiTheme="minorHAnsi" w:cs="Arial"/>
                <w:b/>
                <w:bCs/>
                <w:color w:val="23304D"/>
                <w:kern w:val="24"/>
                <w:sz w:val="20"/>
                <w:szCs w:val="20"/>
                <w:lang w:val="pt-BR"/>
              </w:rPr>
            </w:pPr>
            <w:r>
              <w:rPr>
                <w:rFonts w:asciiTheme="minorHAnsi" w:hAnsiTheme="minorHAnsi" w:cs="Arial"/>
                <w:color w:val="23304D"/>
                <w:kern w:val="24"/>
                <w:sz w:val="20"/>
                <w:szCs w:val="20"/>
                <w:lang w:val="en-GB"/>
              </w:rPr>
              <w:t>+13</w:t>
            </w:r>
            <w:r w:rsidRPr="00CB7615">
              <w:rPr>
                <w:rFonts w:asciiTheme="minorHAnsi" w:hAnsiTheme="minorHAnsi" w:cs="Arial"/>
                <w:color w:val="23304D"/>
                <w:kern w:val="24"/>
                <w:sz w:val="20"/>
                <w:szCs w:val="20"/>
              </w:rPr>
              <w:t>%</w:t>
            </w:r>
          </w:p>
        </w:tc>
      </w:tr>
      <w:tr w:rsidR="008B4E8E" w:rsidRPr="00CB7615" w14:paraId="0256BAE2" w14:textId="77777777" w:rsidTr="00366F3F">
        <w:trPr>
          <w:trHeight w:val="553"/>
        </w:trPr>
        <w:tc>
          <w:tcPr>
            <w:tcW w:w="2098" w:type="dxa"/>
            <w:tcMar>
              <w:top w:w="15" w:type="dxa"/>
              <w:left w:w="15" w:type="dxa"/>
              <w:bottom w:w="0" w:type="dxa"/>
              <w:right w:w="15" w:type="dxa"/>
            </w:tcMar>
            <w:vAlign w:val="center"/>
          </w:tcPr>
          <w:p w14:paraId="18A85B94" w14:textId="77777777" w:rsidR="008B4E8E" w:rsidRPr="002A7F8D" w:rsidRDefault="008B4E8E" w:rsidP="00BC68C2">
            <w:pPr>
              <w:rPr>
                <w:lang w:val="en-GB" w:eastAsia="el-GR"/>
              </w:rPr>
            </w:pPr>
            <w:r>
              <w:rPr>
                <w:b/>
                <w:bCs/>
                <w:color w:val="23304D"/>
                <w:sz w:val="20"/>
                <w:szCs w:val="20"/>
              </w:rPr>
              <w:t>Πλατφόρμα</w:t>
            </w:r>
            <w:r w:rsidRPr="002A7F8D">
              <w:rPr>
                <w:b/>
                <w:bCs/>
                <w:color w:val="23304D"/>
                <w:sz w:val="20"/>
                <w:szCs w:val="20"/>
                <w:lang w:val="en-GB"/>
              </w:rPr>
              <w:t xml:space="preserve"> </w:t>
            </w:r>
            <w:r>
              <w:rPr>
                <w:b/>
                <w:bCs/>
                <w:color w:val="23304D"/>
                <w:sz w:val="20"/>
                <w:szCs w:val="20"/>
              </w:rPr>
              <w:t>ως</w:t>
            </w:r>
            <w:r w:rsidRPr="002A7F8D">
              <w:rPr>
                <w:b/>
                <w:bCs/>
                <w:color w:val="23304D"/>
                <w:sz w:val="20"/>
                <w:szCs w:val="20"/>
                <w:lang w:val="en-GB"/>
              </w:rPr>
              <w:t xml:space="preserve"> </w:t>
            </w:r>
            <w:r>
              <w:rPr>
                <w:b/>
                <w:bCs/>
                <w:color w:val="23304D"/>
                <w:sz w:val="20"/>
                <w:szCs w:val="20"/>
              </w:rPr>
              <w:t>Υπηρεσία</w:t>
            </w:r>
            <w:r w:rsidRPr="002A7F8D">
              <w:rPr>
                <w:b/>
                <w:bCs/>
                <w:color w:val="23304D"/>
                <w:sz w:val="20"/>
                <w:szCs w:val="20"/>
                <w:lang w:val="en-GB"/>
              </w:rPr>
              <w:t xml:space="preserve"> </w:t>
            </w:r>
          </w:p>
          <w:p w14:paraId="0DCDFE1B" w14:textId="77777777" w:rsidR="008B4E8E" w:rsidRPr="00C33C71" w:rsidRDefault="008B4E8E" w:rsidP="00BC68C2">
            <w:pPr>
              <w:rPr>
                <w:rFonts w:eastAsia="Times New Roman" w:cs="Arial"/>
                <w:b/>
                <w:bCs/>
                <w:color w:val="23304D"/>
                <w:kern w:val="24"/>
                <w:sz w:val="20"/>
                <w:szCs w:val="20"/>
                <w:lang w:eastAsia="el-GR"/>
              </w:rPr>
            </w:pPr>
          </w:p>
        </w:tc>
        <w:tc>
          <w:tcPr>
            <w:tcW w:w="1272" w:type="dxa"/>
            <w:vAlign w:val="center"/>
          </w:tcPr>
          <w:p w14:paraId="329A1445" w14:textId="77777777" w:rsidR="008B4E8E" w:rsidRPr="00CB7615" w:rsidRDefault="008B4E8E" w:rsidP="00BC68C2">
            <w:pPr>
              <w:pStyle w:val="NormalWeb"/>
              <w:spacing w:before="0" w:beforeAutospacing="0" w:after="0" w:afterAutospacing="0"/>
              <w:jc w:val="center"/>
              <w:textAlignment w:val="center"/>
              <w:rPr>
                <w:rFonts w:asciiTheme="minorHAnsi" w:hAnsiTheme="minorHAnsi" w:cs="Arial"/>
                <w:b/>
                <w:bCs/>
                <w:color w:val="23304D"/>
                <w:kern w:val="24"/>
                <w:sz w:val="20"/>
                <w:szCs w:val="20"/>
                <w:lang w:val="pt-BR"/>
              </w:rPr>
            </w:pPr>
            <w:r w:rsidRPr="007E2B2B">
              <w:rPr>
                <w:rFonts w:asciiTheme="minorHAnsi" w:hAnsiTheme="minorHAnsi" w:cs="Arial"/>
                <w:color w:val="23304D"/>
                <w:kern w:val="24"/>
                <w:sz w:val="20"/>
                <w:szCs w:val="20"/>
                <w:lang w:val="pt-BR"/>
              </w:rPr>
              <w:t>€</w:t>
            </w:r>
            <w:r>
              <w:rPr>
                <w:rFonts w:asciiTheme="minorHAnsi" w:hAnsiTheme="minorHAnsi" w:cs="Arial"/>
                <w:color w:val="23304D"/>
                <w:kern w:val="24"/>
                <w:sz w:val="20"/>
                <w:szCs w:val="20"/>
                <w:lang w:val="pt-BR"/>
              </w:rPr>
              <w:t>107</w:t>
            </w:r>
            <w:r w:rsidRPr="007E2B2B">
              <w:rPr>
                <w:rFonts w:asciiTheme="minorHAnsi" w:hAnsiTheme="minorHAnsi" w:cs="Arial"/>
                <w:color w:val="23304D"/>
                <w:kern w:val="24"/>
                <w:sz w:val="20"/>
                <w:szCs w:val="20"/>
                <w:lang w:val="pt-BR"/>
              </w:rPr>
              <w:t xml:space="preserve"> </w:t>
            </w:r>
            <w:r>
              <w:rPr>
                <w:rFonts w:asciiTheme="minorHAnsi" w:hAnsiTheme="minorHAnsi" w:cs="Arial"/>
                <w:color w:val="23304D"/>
                <w:kern w:val="24"/>
                <w:sz w:val="20"/>
                <w:szCs w:val="20"/>
              </w:rPr>
              <w:t>εκατ.</w:t>
            </w:r>
          </w:p>
        </w:tc>
        <w:tc>
          <w:tcPr>
            <w:tcW w:w="1272" w:type="dxa"/>
            <w:vAlign w:val="center"/>
          </w:tcPr>
          <w:p w14:paraId="5C087953" w14:textId="1079C58A" w:rsidR="008B4E8E" w:rsidRPr="00CB7615" w:rsidRDefault="008B4E8E" w:rsidP="00BC68C2">
            <w:pPr>
              <w:pStyle w:val="NormalWeb"/>
              <w:spacing w:before="0" w:beforeAutospacing="0" w:after="0" w:afterAutospacing="0"/>
              <w:jc w:val="center"/>
              <w:textAlignment w:val="center"/>
              <w:rPr>
                <w:rFonts w:asciiTheme="minorHAnsi" w:hAnsiTheme="minorHAnsi" w:cs="Arial"/>
                <w:b/>
                <w:bCs/>
                <w:color w:val="23304D"/>
                <w:kern w:val="24"/>
                <w:sz w:val="20"/>
                <w:szCs w:val="20"/>
                <w:lang w:val="pt-BR"/>
              </w:rPr>
            </w:pPr>
            <w:r w:rsidRPr="007E2B2B">
              <w:rPr>
                <w:rFonts w:asciiTheme="minorHAnsi" w:hAnsiTheme="minorHAnsi" w:cs="Arial"/>
                <w:color w:val="23304D"/>
                <w:kern w:val="24"/>
                <w:sz w:val="20"/>
                <w:szCs w:val="20"/>
                <w:lang w:val="pt-BR"/>
              </w:rPr>
              <w:t>€</w:t>
            </w:r>
            <w:r>
              <w:rPr>
                <w:rFonts w:asciiTheme="minorHAnsi" w:hAnsiTheme="minorHAnsi" w:cs="Arial"/>
                <w:color w:val="23304D"/>
                <w:kern w:val="24"/>
                <w:sz w:val="20"/>
                <w:szCs w:val="20"/>
                <w:lang w:val="pt-BR"/>
              </w:rPr>
              <w:t>23</w:t>
            </w:r>
            <w:r w:rsidRPr="007E2B2B">
              <w:rPr>
                <w:rFonts w:asciiTheme="minorHAnsi" w:hAnsiTheme="minorHAnsi" w:cs="Arial"/>
                <w:color w:val="23304D"/>
                <w:kern w:val="24"/>
                <w:sz w:val="20"/>
                <w:szCs w:val="20"/>
                <w:lang w:val="pt-BR"/>
              </w:rPr>
              <w:t xml:space="preserve"> </w:t>
            </w:r>
            <w:r>
              <w:rPr>
                <w:rFonts w:asciiTheme="minorHAnsi" w:hAnsiTheme="minorHAnsi" w:cs="Arial"/>
                <w:color w:val="23304D"/>
                <w:kern w:val="24"/>
                <w:sz w:val="20"/>
                <w:szCs w:val="20"/>
              </w:rPr>
              <w:t>εκατ.</w:t>
            </w:r>
          </w:p>
        </w:tc>
        <w:tc>
          <w:tcPr>
            <w:tcW w:w="1359" w:type="dxa"/>
            <w:tcMar>
              <w:top w:w="15" w:type="dxa"/>
              <w:left w:w="15" w:type="dxa"/>
              <w:bottom w:w="0" w:type="dxa"/>
              <w:right w:w="15" w:type="dxa"/>
            </w:tcMar>
            <w:vAlign w:val="center"/>
          </w:tcPr>
          <w:p w14:paraId="4C235253" w14:textId="77777777" w:rsidR="008B4E8E" w:rsidRPr="00EC6E52" w:rsidRDefault="008B4E8E" w:rsidP="00BC68C2">
            <w:pPr>
              <w:pStyle w:val="NormalWeb"/>
              <w:spacing w:before="0" w:beforeAutospacing="0" w:after="0" w:afterAutospacing="0"/>
              <w:jc w:val="center"/>
              <w:textAlignment w:val="center"/>
              <w:rPr>
                <w:rFonts w:asciiTheme="minorHAnsi" w:hAnsiTheme="minorHAnsi" w:cs="Arial"/>
                <w:color w:val="23304D"/>
                <w:kern w:val="24"/>
                <w:sz w:val="20"/>
                <w:szCs w:val="20"/>
                <w:lang w:val="pt-BR"/>
              </w:rPr>
            </w:pPr>
            <w:r w:rsidRPr="00EC6E52">
              <w:rPr>
                <w:rFonts w:asciiTheme="minorHAnsi" w:hAnsiTheme="minorHAnsi" w:cs="Arial"/>
                <w:color w:val="23304D"/>
                <w:kern w:val="24"/>
                <w:sz w:val="20"/>
                <w:szCs w:val="20"/>
                <w:lang w:val="pt-BR"/>
              </w:rPr>
              <w:t>22%</w:t>
            </w:r>
          </w:p>
        </w:tc>
        <w:tc>
          <w:tcPr>
            <w:tcW w:w="1157" w:type="dxa"/>
            <w:vMerge/>
            <w:vAlign w:val="center"/>
          </w:tcPr>
          <w:p w14:paraId="021A0695" w14:textId="77777777" w:rsidR="008B4E8E" w:rsidRDefault="008B4E8E" w:rsidP="00BC68C2">
            <w:pPr>
              <w:pStyle w:val="NormalWeb"/>
              <w:spacing w:before="0" w:beforeAutospacing="0" w:after="0" w:afterAutospacing="0"/>
              <w:jc w:val="center"/>
              <w:textAlignment w:val="center"/>
              <w:rPr>
                <w:rFonts w:asciiTheme="minorHAnsi" w:hAnsiTheme="minorHAnsi" w:cs="Arial"/>
                <w:b/>
                <w:bCs/>
                <w:color w:val="23304D"/>
                <w:kern w:val="24"/>
                <w:sz w:val="20"/>
                <w:szCs w:val="20"/>
                <w:lang w:val="pt-BR"/>
              </w:rPr>
            </w:pPr>
          </w:p>
        </w:tc>
        <w:tc>
          <w:tcPr>
            <w:tcW w:w="1148" w:type="dxa"/>
            <w:vMerge/>
            <w:tcMar>
              <w:top w:w="15" w:type="dxa"/>
              <w:left w:w="15" w:type="dxa"/>
              <w:bottom w:w="0" w:type="dxa"/>
              <w:right w:w="15" w:type="dxa"/>
            </w:tcMar>
            <w:vAlign w:val="center"/>
          </w:tcPr>
          <w:p w14:paraId="3B7B4018" w14:textId="77777777" w:rsidR="008B4E8E" w:rsidRPr="00CB7615" w:rsidRDefault="008B4E8E" w:rsidP="00BC68C2">
            <w:pPr>
              <w:pStyle w:val="NormalWeb"/>
              <w:spacing w:before="0" w:beforeAutospacing="0" w:after="0" w:afterAutospacing="0"/>
              <w:jc w:val="center"/>
              <w:textAlignment w:val="center"/>
              <w:rPr>
                <w:rFonts w:asciiTheme="minorHAnsi" w:hAnsiTheme="minorHAnsi" w:cs="Arial"/>
                <w:b/>
                <w:bCs/>
                <w:color w:val="23304D"/>
                <w:kern w:val="24"/>
                <w:sz w:val="20"/>
                <w:szCs w:val="20"/>
                <w:lang w:val="pt-BR"/>
              </w:rPr>
            </w:pPr>
          </w:p>
        </w:tc>
      </w:tr>
      <w:tr w:rsidR="008B4E8E" w:rsidRPr="00CB7615" w14:paraId="1337A474" w14:textId="77777777" w:rsidTr="00366F3F">
        <w:trPr>
          <w:trHeight w:val="553"/>
        </w:trPr>
        <w:tc>
          <w:tcPr>
            <w:tcW w:w="2098" w:type="dxa"/>
            <w:tcMar>
              <w:top w:w="15" w:type="dxa"/>
              <w:left w:w="15" w:type="dxa"/>
              <w:bottom w:w="0" w:type="dxa"/>
              <w:right w:w="15" w:type="dxa"/>
            </w:tcMar>
            <w:vAlign w:val="center"/>
          </w:tcPr>
          <w:p w14:paraId="544C1245" w14:textId="77777777" w:rsidR="008B4E8E" w:rsidRPr="00C33C71" w:rsidRDefault="008B4E8E" w:rsidP="00BC68C2">
            <w:pPr>
              <w:rPr>
                <w:rFonts w:eastAsia="Times New Roman" w:cs="Arial"/>
                <w:b/>
                <w:bCs/>
                <w:color w:val="23304D"/>
                <w:kern w:val="24"/>
                <w:sz w:val="20"/>
                <w:szCs w:val="20"/>
                <w:lang w:eastAsia="el-GR"/>
              </w:rPr>
            </w:pPr>
            <w:r>
              <w:rPr>
                <w:b/>
                <w:bCs/>
                <w:color w:val="23304D"/>
                <w:sz w:val="20"/>
                <w:szCs w:val="20"/>
              </w:rPr>
              <w:t>Διαχείριση Χαρτοφυλακίου</w:t>
            </w:r>
          </w:p>
        </w:tc>
        <w:tc>
          <w:tcPr>
            <w:tcW w:w="1272" w:type="dxa"/>
            <w:vAlign w:val="center"/>
          </w:tcPr>
          <w:p w14:paraId="0565B451" w14:textId="77777777" w:rsidR="008B4E8E" w:rsidRPr="00CB7615" w:rsidRDefault="008B4E8E" w:rsidP="00BC68C2">
            <w:pPr>
              <w:pStyle w:val="NormalWeb"/>
              <w:spacing w:before="0" w:beforeAutospacing="0" w:after="0" w:afterAutospacing="0"/>
              <w:jc w:val="center"/>
              <w:textAlignment w:val="center"/>
              <w:rPr>
                <w:rFonts w:asciiTheme="minorHAnsi" w:hAnsiTheme="minorHAnsi" w:cs="Arial"/>
                <w:b/>
                <w:bCs/>
                <w:color w:val="23304D"/>
                <w:kern w:val="24"/>
                <w:sz w:val="20"/>
                <w:szCs w:val="20"/>
                <w:lang w:val="pt-BR"/>
              </w:rPr>
            </w:pPr>
            <w:r w:rsidRPr="007E2B2B">
              <w:rPr>
                <w:rFonts w:asciiTheme="minorHAnsi" w:hAnsiTheme="minorHAnsi" w:cs="Arial"/>
                <w:color w:val="23304D"/>
                <w:kern w:val="24"/>
                <w:sz w:val="20"/>
                <w:szCs w:val="20"/>
                <w:lang w:val="pt-BR"/>
              </w:rPr>
              <w:t>€</w:t>
            </w:r>
            <w:r>
              <w:rPr>
                <w:rFonts w:asciiTheme="minorHAnsi" w:hAnsiTheme="minorHAnsi" w:cs="Arial"/>
                <w:color w:val="23304D"/>
                <w:kern w:val="24"/>
                <w:sz w:val="20"/>
                <w:szCs w:val="20"/>
                <w:lang w:val="pt-BR"/>
              </w:rPr>
              <w:t>44</w:t>
            </w:r>
            <w:r w:rsidRPr="007E2B2B">
              <w:rPr>
                <w:rFonts w:asciiTheme="minorHAnsi" w:hAnsiTheme="minorHAnsi" w:cs="Arial"/>
                <w:color w:val="23304D"/>
                <w:kern w:val="24"/>
                <w:sz w:val="20"/>
                <w:szCs w:val="20"/>
                <w:lang w:val="pt-BR"/>
              </w:rPr>
              <w:t xml:space="preserve"> </w:t>
            </w:r>
            <w:r>
              <w:rPr>
                <w:rFonts w:asciiTheme="minorHAnsi" w:hAnsiTheme="minorHAnsi" w:cs="Arial"/>
                <w:color w:val="23304D"/>
                <w:kern w:val="24"/>
                <w:sz w:val="20"/>
                <w:szCs w:val="20"/>
              </w:rPr>
              <w:t>εκατ.</w:t>
            </w:r>
          </w:p>
        </w:tc>
        <w:tc>
          <w:tcPr>
            <w:tcW w:w="1272" w:type="dxa"/>
            <w:vAlign w:val="center"/>
          </w:tcPr>
          <w:p w14:paraId="29C34A57" w14:textId="77777777" w:rsidR="008B4E8E" w:rsidRPr="00CB7615" w:rsidRDefault="008B4E8E" w:rsidP="00BC68C2">
            <w:pPr>
              <w:pStyle w:val="NormalWeb"/>
              <w:spacing w:before="0" w:beforeAutospacing="0" w:after="0" w:afterAutospacing="0"/>
              <w:jc w:val="center"/>
              <w:textAlignment w:val="center"/>
              <w:rPr>
                <w:rFonts w:asciiTheme="minorHAnsi" w:hAnsiTheme="minorHAnsi" w:cs="Arial"/>
                <w:b/>
                <w:bCs/>
                <w:color w:val="23304D"/>
                <w:kern w:val="24"/>
                <w:sz w:val="20"/>
                <w:szCs w:val="20"/>
                <w:lang w:val="pt-BR"/>
              </w:rPr>
            </w:pPr>
            <w:r w:rsidRPr="007E2B2B">
              <w:rPr>
                <w:rFonts w:asciiTheme="minorHAnsi" w:hAnsiTheme="minorHAnsi" w:cs="Arial"/>
                <w:color w:val="23304D"/>
                <w:kern w:val="24"/>
                <w:sz w:val="20"/>
                <w:szCs w:val="20"/>
                <w:lang w:val="pt-BR"/>
              </w:rPr>
              <w:t>€</w:t>
            </w:r>
            <w:r>
              <w:rPr>
                <w:rFonts w:asciiTheme="minorHAnsi" w:hAnsiTheme="minorHAnsi" w:cs="Arial"/>
                <w:color w:val="23304D"/>
                <w:kern w:val="24"/>
                <w:sz w:val="20"/>
                <w:szCs w:val="20"/>
                <w:lang w:val="pt-BR"/>
              </w:rPr>
              <w:t>4</w:t>
            </w:r>
            <w:r w:rsidRPr="007E2B2B">
              <w:rPr>
                <w:rFonts w:asciiTheme="minorHAnsi" w:hAnsiTheme="minorHAnsi" w:cs="Arial"/>
                <w:color w:val="23304D"/>
                <w:kern w:val="24"/>
                <w:sz w:val="20"/>
                <w:szCs w:val="20"/>
                <w:lang w:val="pt-BR"/>
              </w:rPr>
              <w:t xml:space="preserve"> </w:t>
            </w:r>
            <w:r>
              <w:rPr>
                <w:rFonts w:asciiTheme="minorHAnsi" w:hAnsiTheme="minorHAnsi" w:cs="Arial"/>
                <w:color w:val="23304D"/>
                <w:kern w:val="24"/>
                <w:sz w:val="20"/>
                <w:szCs w:val="20"/>
              </w:rPr>
              <w:t>εκατ.</w:t>
            </w:r>
          </w:p>
        </w:tc>
        <w:tc>
          <w:tcPr>
            <w:tcW w:w="1359" w:type="dxa"/>
            <w:tcMar>
              <w:top w:w="15" w:type="dxa"/>
              <w:left w:w="15" w:type="dxa"/>
              <w:bottom w:w="0" w:type="dxa"/>
              <w:right w:w="15" w:type="dxa"/>
            </w:tcMar>
            <w:vAlign w:val="center"/>
          </w:tcPr>
          <w:p w14:paraId="4407A6F3" w14:textId="77777777" w:rsidR="008B4E8E" w:rsidRPr="00EC6E52" w:rsidRDefault="008B4E8E" w:rsidP="00BC68C2">
            <w:pPr>
              <w:pStyle w:val="NormalWeb"/>
              <w:spacing w:before="0" w:beforeAutospacing="0" w:after="0" w:afterAutospacing="0"/>
              <w:jc w:val="center"/>
              <w:textAlignment w:val="center"/>
              <w:rPr>
                <w:rFonts w:asciiTheme="minorHAnsi" w:hAnsiTheme="minorHAnsi" w:cs="Arial"/>
                <w:color w:val="23304D"/>
                <w:kern w:val="24"/>
                <w:sz w:val="20"/>
                <w:szCs w:val="20"/>
                <w:lang w:val="pt-BR"/>
              </w:rPr>
            </w:pPr>
            <w:r w:rsidRPr="00EC6E52">
              <w:rPr>
                <w:rFonts w:asciiTheme="minorHAnsi" w:hAnsiTheme="minorHAnsi" w:cs="Arial"/>
                <w:color w:val="23304D"/>
                <w:kern w:val="24"/>
                <w:sz w:val="20"/>
                <w:szCs w:val="20"/>
                <w:lang w:val="pt-BR"/>
              </w:rPr>
              <w:t>10%</w:t>
            </w:r>
          </w:p>
        </w:tc>
        <w:tc>
          <w:tcPr>
            <w:tcW w:w="1157" w:type="dxa"/>
            <w:vAlign w:val="center"/>
          </w:tcPr>
          <w:p w14:paraId="749C8CB8" w14:textId="77777777" w:rsidR="008B4E8E" w:rsidRDefault="008B4E8E" w:rsidP="00BC68C2">
            <w:pPr>
              <w:pStyle w:val="NormalWeb"/>
              <w:spacing w:before="0" w:beforeAutospacing="0" w:after="0" w:afterAutospacing="0"/>
              <w:jc w:val="center"/>
              <w:textAlignment w:val="center"/>
              <w:rPr>
                <w:rFonts w:asciiTheme="minorHAnsi" w:hAnsiTheme="minorHAnsi" w:cs="Arial"/>
                <w:b/>
                <w:bCs/>
                <w:color w:val="23304D"/>
                <w:kern w:val="24"/>
                <w:sz w:val="20"/>
                <w:szCs w:val="20"/>
                <w:lang w:val="pt-BR"/>
              </w:rPr>
            </w:pPr>
            <w:r>
              <w:rPr>
                <w:rFonts w:asciiTheme="minorHAnsi" w:hAnsiTheme="minorHAnsi" w:cs="Arial"/>
                <w:color w:val="23304D"/>
                <w:kern w:val="24"/>
                <w:sz w:val="20"/>
                <w:szCs w:val="20"/>
                <w:lang w:val="pt-BR"/>
              </w:rPr>
              <w:t>+9</w:t>
            </w:r>
            <w:r w:rsidRPr="00EC6E52">
              <w:rPr>
                <w:rFonts w:asciiTheme="minorHAnsi" w:hAnsiTheme="minorHAnsi" w:cs="Arial"/>
                <w:color w:val="23304D"/>
                <w:kern w:val="24"/>
                <w:sz w:val="20"/>
                <w:szCs w:val="20"/>
                <w:lang w:val="pt-BR"/>
              </w:rPr>
              <w:t>%</w:t>
            </w:r>
          </w:p>
        </w:tc>
        <w:tc>
          <w:tcPr>
            <w:tcW w:w="1148" w:type="dxa"/>
            <w:tcMar>
              <w:top w:w="15" w:type="dxa"/>
              <w:left w:w="15" w:type="dxa"/>
              <w:bottom w:w="0" w:type="dxa"/>
              <w:right w:w="15" w:type="dxa"/>
            </w:tcMar>
            <w:vAlign w:val="center"/>
          </w:tcPr>
          <w:p w14:paraId="34CF63E2" w14:textId="77777777" w:rsidR="008B4E8E" w:rsidRPr="00CB7615" w:rsidRDefault="008B4E8E" w:rsidP="00BC68C2">
            <w:pPr>
              <w:pStyle w:val="NormalWeb"/>
              <w:spacing w:before="0" w:beforeAutospacing="0" w:after="0" w:afterAutospacing="0"/>
              <w:jc w:val="center"/>
              <w:textAlignment w:val="center"/>
              <w:rPr>
                <w:rFonts w:asciiTheme="minorHAnsi" w:hAnsiTheme="minorHAnsi" w:cs="Arial"/>
                <w:b/>
                <w:bCs/>
                <w:color w:val="23304D"/>
                <w:kern w:val="24"/>
                <w:sz w:val="20"/>
                <w:szCs w:val="20"/>
                <w:lang w:val="pt-BR"/>
              </w:rPr>
            </w:pPr>
            <w:r>
              <w:rPr>
                <w:rFonts w:asciiTheme="minorHAnsi" w:hAnsiTheme="minorHAnsi" w:cs="Arial"/>
                <w:color w:val="23304D"/>
                <w:kern w:val="24"/>
                <w:sz w:val="20"/>
                <w:szCs w:val="20"/>
                <w:lang w:val="pt-BR"/>
              </w:rPr>
              <w:t>+4</w:t>
            </w:r>
            <w:r w:rsidRPr="00EC6E52">
              <w:rPr>
                <w:rFonts w:asciiTheme="minorHAnsi" w:hAnsiTheme="minorHAnsi" w:cs="Arial"/>
                <w:color w:val="23304D"/>
                <w:kern w:val="24"/>
                <w:sz w:val="20"/>
                <w:szCs w:val="20"/>
                <w:lang w:val="pt-BR"/>
              </w:rPr>
              <w:t>%</w:t>
            </w:r>
          </w:p>
        </w:tc>
      </w:tr>
    </w:tbl>
    <w:p w14:paraId="58ACB754" w14:textId="77777777" w:rsidR="008B4E8E" w:rsidRDefault="008B4E8E" w:rsidP="008B4E8E">
      <w:pPr>
        <w:spacing w:after="0"/>
        <w:rPr>
          <w:lang w:eastAsia="el-GR"/>
        </w:rPr>
      </w:pPr>
      <w:r>
        <w:rPr>
          <w:sz w:val="16"/>
          <w:szCs w:val="16"/>
        </w:rPr>
        <w:t>Σημείωση:</w:t>
      </w:r>
    </w:p>
    <w:p w14:paraId="7501EC67" w14:textId="77777777" w:rsidR="008B4E8E" w:rsidRPr="008B4E8E" w:rsidRDefault="008B4E8E" w:rsidP="008B4E8E">
      <w:pPr>
        <w:spacing w:after="0"/>
        <w:rPr>
          <w:lang w:val="el-GR" w:eastAsia="el-GR"/>
        </w:rPr>
      </w:pPr>
      <w:r w:rsidRPr="008B4E8E">
        <w:rPr>
          <w:sz w:val="16"/>
          <w:szCs w:val="16"/>
          <w:lang w:val="el-GR"/>
        </w:rPr>
        <w:lastRenderedPageBreak/>
        <w:t>1. Τα στοιχεία εξαιρούν τις εξαλείψεις και προσαρμογές ενδοομιλικών εσόδων</w:t>
      </w:r>
      <w:r w:rsidRPr="008B4E8E">
        <w:rPr>
          <w:sz w:val="16"/>
          <w:szCs w:val="16"/>
          <w:lang w:val="el-GR"/>
        </w:rPr>
        <w:br/>
        <w:t>2. Τα στοιχεία περιλαμβάνουν τις εξαλείψεις και προσαρμογές ενδοομιλικών συναλλαγών</w:t>
      </w:r>
    </w:p>
    <w:p w14:paraId="65D711EB" w14:textId="77777777" w:rsidR="008B4E8E" w:rsidRPr="008B4E8E" w:rsidRDefault="008B4E8E" w:rsidP="008B4E8E">
      <w:pPr>
        <w:spacing w:after="0"/>
        <w:rPr>
          <w:sz w:val="16"/>
          <w:szCs w:val="16"/>
          <w:lang w:val="el-GR"/>
        </w:rPr>
      </w:pPr>
    </w:p>
    <w:p w14:paraId="06D750CC" w14:textId="77777777" w:rsidR="008B4E8E" w:rsidRPr="008B4E8E" w:rsidRDefault="008B4E8E" w:rsidP="008B4E8E">
      <w:pPr>
        <w:jc w:val="both"/>
        <w:rPr>
          <w:lang w:val="el-GR" w:eastAsia="el-GR"/>
        </w:rPr>
      </w:pPr>
      <w:r w:rsidRPr="008B4E8E">
        <w:rPr>
          <w:sz w:val="20"/>
          <w:szCs w:val="20"/>
          <w:lang w:val="el-GR"/>
        </w:rPr>
        <w:t xml:space="preserve">Η λειτουργία του ομίλου </w:t>
      </w:r>
      <w:r>
        <w:rPr>
          <w:sz w:val="20"/>
          <w:szCs w:val="20"/>
        </w:rPr>
        <w:t>Qualco</w:t>
      </w:r>
      <w:r w:rsidRPr="008B4E8E">
        <w:rPr>
          <w:sz w:val="20"/>
          <w:szCs w:val="20"/>
          <w:lang w:val="el-GR"/>
        </w:rPr>
        <w:t xml:space="preserve"> στηρίζεται σε τρεις επιχειρηματικούς τομείς από την 1η Ιανουαρίου 2025.</w:t>
      </w:r>
    </w:p>
    <w:p w14:paraId="0D434F38" w14:textId="77777777" w:rsidR="008B4E8E" w:rsidRPr="008B4E8E" w:rsidRDefault="008B4E8E" w:rsidP="008B4E8E">
      <w:pPr>
        <w:jc w:val="both"/>
        <w:rPr>
          <w:sz w:val="20"/>
          <w:szCs w:val="20"/>
          <w:lang w:val="el-GR"/>
        </w:rPr>
      </w:pPr>
    </w:p>
    <w:p w14:paraId="6A42D828" w14:textId="77777777" w:rsidR="008B4E8E" w:rsidRPr="008B4E8E" w:rsidRDefault="008B4E8E" w:rsidP="008B4E8E">
      <w:pPr>
        <w:jc w:val="both"/>
        <w:rPr>
          <w:lang w:val="el-GR" w:eastAsia="el-GR"/>
        </w:rPr>
      </w:pPr>
      <w:r w:rsidRPr="008B4E8E">
        <w:rPr>
          <w:b/>
          <w:bCs/>
          <w:sz w:val="20"/>
          <w:szCs w:val="20"/>
          <w:lang w:val="el-GR"/>
        </w:rPr>
        <w:t>Διαφοροποιημένα Κανάλια Εσόδων για τη Στήριξη της Ανάπτυξης</w:t>
      </w:r>
    </w:p>
    <w:p w14:paraId="216B54F1" w14:textId="77777777" w:rsidR="008B4E8E" w:rsidRDefault="008B4E8E" w:rsidP="008B4E8E">
      <w:pPr>
        <w:pStyle w:val="ListParagraph"/>
        <w:numPr>
          <w:ilvl w:val="0"/>
          <w:numId w:val="5"/>
        </w:numPr>
        <w:spacing w:line="276" w:lineRule="auto"/>
        <w:contextualSpacing w:val="0"/>
        <w:jc w:val="both"/>
        <w:rPr>
          <w:lang w:eastAsia="el-GR"/>
        </w:rPr>
      </w:pPr>
      <w:r>
        <w:rPr>
          <w:sz w:val="20"/>
          <w:szCs w:val="20"/>
        </w:rPr>
        <w:t>Η ανάπτυξη διεθνών εσόδων επιταχύνθηκε το 2025 (13 νέοι σημαντικοί πελάτες, συμπεριλαμβανομένων 6 ξένων τραπεζών, σε 7 χώρες εκτός Ελλάδας).</w:t>
      </w:r>
    </w:p>
    <w:p w14:paraId="2DA6764C" w14:textId="77777777" w:rsidR="008B4E8E" w:rsidRDefault="008B4E8E" w:rsidP="008B4E8E">
      <w:pPr>
        <w:pStyle w:val="ListParagraph"/>
        <w:numPr>
          <w:ilvl w:val="0"/>
          <w:numId w:val="5"/>
        </w:numPr>
        <w:spacing w:line="276" w:lineRule="auto"/>
        <w:contextualSpacing w:val="0"/>
        <w:jc w:val="both"/>
        <w:rPr>
          <w:lang w:eastAsia="el-GR"/>
        </w:rPr>
      </w:pPr>
      <w:r>
        <w:rPr>
          <w:sz w:val="20"/>
          <w:szCs w:val="20"/>
        </w:rPr>
        <w:t>Το λογισμικό &amp; οι υπηρεσίες αυξήθηκαν στο 7%.</w:t>
      </w:r>
    </w:p>
    <w:p w14:paraId="661505CB" w14:textId="77777777" w:rsidR="008B4E8E" w:rsidRDefault="008B4E8E" w:rsidP="008B4E8E">
      <w:pPr>
        <w:pStyle w:val="ListParagraph"/>
        <w:numPr>
          <w:ilvl w:val="0"/>
          <w:numId w:val="5"/>
        </w:numPr>
        <w:spacing w:line="276" w:lineRule="auto"/>
        <w:contextualSpacing w:val="0"/>
        <w:jc w:val="both"/>
        <w:rPr>
          <w:lang w:eastAsia="el-GR"/>
        </w:rPr>
      </w:pPr>
      <w:r>
        <w:rPr>
          <w:sz w:val="20"/>
          <w:szCs w:val="20"/>
        </w:rPr>
        <w:t>Ο κλάδος Ενέργειας &amp; Υπηρεσιών Κοινής Ωφέλειας υποχώρησε κάτω από το 50%, με τα έσοδα να κατανέμονται σε περισσότερους βασικούς πελάτες, εξαλείφοντας τον κίνδυνο συγκέντρωσης πελατών.</w:t>
      </w:r>
    </w:p>
    <w:p w14:paraId="4F8C21D3" w14:textId="77777777" w:rsidR="008B4E8E" w:rsidRPr="008B4E8E" w:rsidRDefault="008B4E8E" w:rsidP="008B4E8E">
      <w:pPr>
        <w:rPr>
          <w:sz w:val="20"/>
          <w:szCs w:val="20"/>
          <w:lang w:val="el-GR"/>
        </w:rPr>
      </w:pPr>
    </w:p>
    <w:p w14:paraId="4DFA76C4" w14:textId="77777777" w:rsidR="008B4E8E" w:rsidRPr="008B4E8E" w:rsidRDefault="008B4E8E" w:rsidP="008B4E8E">
      <w:pPr>
        <w:rPr>
          <w:sz w:val="20"/>
          <w:szCs w:val="20"/>
          <w:lang w:val="el-GR"/>
        </w:rPr>
      </w:pPr>
    </w:p>
    <w:p w14:paraId="1CAB1240" w14:textId="77777777" w:rsidR="008B4E8E" w:rsidRDefault="008B4E8E" w:rsidP="008B4E8E">
      <w:pPr>
        <w:rPr>
          <w:b/>
          <w:bCs/>
          <w:sz w:val="20"/>
          <w:szCs w:val="20"/>
        </w:rPr>
      </w:pPr>
      <w:r>
        <w:rPr>
          <w:noProof/>
        </w:rPr>
        <w:drawing>
          <wp:inline distT="0" distB="0" distL="0" distR="0" wp14:anchorId="6B32D952" wp14:editId="18C8212B">
            <wp:extent cx="5274310" cy="2080260"/>
            <wp:effectExtent l="0" t="0" r="2540" b="0"/>
            <wp:docPr id="1551229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229995" name=""/>
                    <pic:cNvPicPr/>
                  </pic:nvPicPr>
                  <pic:blipFill>
                    <a:blip r:embed="rId10"/>
                    <a:stretch>
                      <a:fillRect/>
                    </a:stretch>
                  </pic:blipFill>
                  <pic:spPr>
                    <a:xfrm>
                      <a:off x="0" y="0"/>
                      <a:ext cx="5274310" cy="2080260"/>
                    </a:xfrm>
                    <a:prstGeom prst="rect">
                      <a:avLst/>
                    </a:prstGeom>
                  </pic:spPr>
                </pic:pic>
              </a:graphicData>
            </a:graphic>
          </wp:inline>
        </w:drawing>
      </w:r>
    </w:p>
    <w:p w14:paraId="69E7DAF1" w14:textId="77777777" w:rsidR="008B4E8E" w:rsidRDefault="008B4E8E" w:rsidP="008B4E8E">
      <w:pPr>
        <w:rPr>
          <w:b/>
          <w:bCs/>
          <w:sz w:val="20"/>
          <w:szCs w:val="20"/>
        </w:rPr>
      </w:pPr>
    </w:p>
    <w:p w14:paraId="24F1B411" w14:textId="77777777" w:rsidR="008B4E8E" w:rsidRPr="008B4E8E" w:rsidRDefault="008B4E8E" w:rsidP="008B4E8E">
      <w:pPr>
        <w:rPr>
          <w:lang w:val="el-GR" w:eastAsia="el-GR"/>
        </w:rPr>
      </w:pPr>
      <w:r w:rsidRPr="008B4E8E">
        <w:rPr>
          <w:b/>
          <w:bCs/>
          <w:sz w:val="20"/>
          <w:szCs w:val="20"/>
          <w:lang w:val="el-GR"/>
        </w:rPr>
        <w:t>Σημεία Αναφοράς Οικονομικών Αποτελεσμάτων</w:t>
      </w:r>
    </w:p>
    <w:p w14:paraId="6795A42D" w14:textId="77777777" w:rsidR="008B4E8E" w:rsidRPr="008B4E8E" w:rsidRDefault="008B4E8E" w:rsidP="008B4E8E">
      <w:pPr>
        <w:jc w:val="both"/>
        <w:rPr>
          <w:lang w:val="el-GR" w:eastAsia="el-GR"/>
        </w:rPr>
      </w:pPr>
      <w:r>
        <w:rPr>
          <w:b/>
          <w:bCs/>
          <w:sz w:val="20"/>
          <w:szCs w:val="20"/>
        </w:rPr>
        <w:t>              </w:t>
      </w:r>
      <w:r w:rsidRPr="008B4E8E">
        <w:rPr>
          <w:b/>
          <w:bCs/>
          <w:sz w:val="20"/>
          <w:szCs w:val="20"/>
          <w:lang w:val="el-GR"/>
        </w:rPr>
        <w:t xml:space="preserve"> Εξαιρετική ετήσια αύξηση εσόδων (</w:t>
      </w:r>
      <w:r>
        <w:rPr>
          <w:b/>
          <w:bCs/>
          <w:sz w:val="20"/>
          <w:szCs w:val="20"/>
        </w:rPr>
        <w:t>YoY</w:t>
      </w:r>
      <w:r w:rsidRPr="008B4E8E">
        <w:rPr>
          <w:b/>
          <w:bCs/>
          <w:sz w:val="20"/>
          <w:szCs w:val="20"/>
          <w:lang w:val="el-GR"/>
        </w:rPr>
        <w:t>) υπεράνω της καθοδήγησης &amp; ανθεκτική κερδοφορία</w:t>
      </w:r>
    </w:p>
    <w:p w14:paraId="72C82E6F" w14:textId="77777777" w:rsidR="008B4E8E" w:rsidRDefault="008B4E8E" w:rsidP="008B4E8E">
      <w:pPr>
        <w:pStyle w:val="ListParagraph"/>
        <w:numPr>
          <w:ilvl w:val="0"/>
          <w:numId w:val="5"/>
        </w:numPr>
        <w:spacing w:line="276" w:lineRule="auto"/>
        <w:contextualSpacing w:val="0"/>
        <w:jc w:val="both"/>
        <w:rPr>
          <w:lang w:eastAsia="el-GR"/>
        </w:rPr>
      </w:pPr>
      <w:r>
        <w:rPr>
          <w:sz w:val="20"/>
          <w:szCs w:val="20"/>
        </w:rPr>
        <w:t>Τα έσοδα του ομίλου για τη χρήση 2025 αυξήθηκαν κατά +17% σε ετήσια βάση, σημειώνοντας υπεραπόδοση έναντι της καθοδήγησης IPO για ανάπτυξη στη μεσαία κλίμακα των διψήφιων ποσοστών, με κινητήρια δύναμη την ανάπτυξη τόσο στις Πλατφόρμες όσο και στο Λογισμικό &amp; Τεχνολογία.</w:t>
      </w:r>
    </w:p>
    <w:p w14:paraId="04AA3B3C" w14:textId="77777777" w:rsidR="008B4E8E" w:rsidRDefault="008B4E8E" w:rsidP="008B4E8E">
      <w:pPr>
        <w:pStyle w:val="ListParagraph"/>
        <w:numPr>
          <w:ilvl w:val="0"/>
          <w:numId w:val="5"/>
        </w:numPr>
        <w:spacing w:line="276" w:lineRule="auto"/>
        <w:contextualSpacing w:val="0"/>
        <w:jc w:val="both"/>
        <w:rPr>
          <w:lang w:eastAsia="el-GR"/>
        </w:rPr>
      </w:pPr>
      <w:r>
        <w:rPr>
          <w:sz w:val="20"/>
          <w:szCs w:val="20"/>
        </w:rPr>
        <w:t>Το Προσαρμοσμένο EBITDA για τη χρήση 2025 διαμορφώθηκε σε €43 εκ. και αυξήθηκε κατά 12% σε ετήσια βάση, επιβεβαιώνοντας την εμπιστοσύνη του οργανισμού στη διατήρηση ισχυρής κερδοφορίας, σε ευθυγράμμιση με τη μεσοπρόθεσμη καθοδήγηση IPO για περιθώριο EBITDA περίπου 20% εντός δύο ετών από την IPO.</w:t>
      </w:r>
    </w:p>
    <w:p w14:paraId="11AF1749" w14:textId="77777777" w:rsidR="008B4E8E" w:rsidRDefault="008B4E8E" w:rsidP="008B4E8E">
      <w:pPr>
        <w:pStyle w:val="ListParagraph"/>
        <w:numPr>
          <w:ilvl w:val="0"/>
          <w:numId w:val="5"/>
        </w:numPr>
        <w:spacing w:line="276" w:lineRule="auto"/>
        <w:contextualSpacing w:val="0"/>
        <w:jc w:val="both"/>
        <w:rPr>
          <w:lang w:eastAsia="el-GR"/>
        </w:rPr>
      </w:pPr>
      <w:r>
        <w:rPr>
          <w:sz w:val="20"/>
          <w:szCs w:val="20"/>
        </w:rPr>
        <w:t>Ως αποτέλεσμα της υιοθέτησης της ΤΝ, η επιχειρησιακή αποδοτικότητα του ομίλου θα επιταχύνει την αύξηση κερδών και θα διευρύνει τα περιθώρια κερδοφορίας.</w:t>
      </w:r>
    </w:p>
    <w:p w14:paraId="051CFEA0" w14:textId="77777777" w:rsidR="008B4E8E" w:rsidRDefault="008B4E8E" w:rsidP="008B4E8E">
      <w:pPr>
        <w:pStyle w:val="ListParagraph"/>
        <w:numPr>
          <w:ilvl w:val="0"/>
          <w:numId w:val="5"/>
        </w:numPr>
        <w:spacing w:line="276" w:lineRule="auto"/>
        <w:contextualSpacing w:val="0"/>
        <w:jc w:val="both"/>
        <w:rPr>
          <w:lang w:eastAsia="el-GR"/>
        </w:rPr>
      </w:pPr>
      <w:r>
        <w:rPr>
          <w:sz w:val="20"/>
          <w:szCs w:val="20"/>
        </w:rPr>
        <w:t xml:space="preserve">Τα Προσαρμοσμένα Καθαρά Κέρδη για τη χρήση 2025, εξαιρουμένων των βραβείων μετοχών και των εφάπαξ δαπανών που πραγματοποιήθηκαν το 2025, ανήλθαν σε €17 εκ., αυξημένα κατά 6% σε ετήσια </w:t>
      </w:r>
      <w:r>
        <w:rPr>
          <w:sz w:val="20"/>
          <w:szCs w:val="20"/>
        </w:rPr>
        <w:lastRenderedPageBreak/>
        <w:t>βάση, καταδεικνύοντας ανθεκτικότητα και εστίαση της διοίκησης στην παροχή μακροπρόθεσμων αποδόσεων για τους μετόχους, σε ευθυγράμμιση με το στρατηγικό όραμα ανάπτυξης.</w:t>
      </w:r>
    </w:p>
    <w:p w14:paraId="4460EEF5" w14:textId="77777777" w:rsidR="008B4E8E" w:rsidRDefault="008B4E8E" w:rsidP="008B4E8E">
      <w:pPr>
        <w:pStyle w:val="ListParagraph"/>
        <w:numPr>
          <w:ilvl w:val="0"/>
          <w:numId w:val="5"/>
        </w:numPr>
        <w:spacing w:line="276" w:lineRule="auto"/>
        <w:contextualSpacing w:val="0"/>
        <w:jc w:val="both"/>
        <w:rPr>
          <w:lang w:eastAsia="el-GR"/>
        </w:rPr>
      </w:pPr>
      <w:r>
        <w:rPr>
          <w:sz w:val="20"/>
          <w:szCs w:val="20"/>
        </w:rPr>
        <w:t>Τα Προσαρμοσμένα Αποδιδόμενα Καθαρά Κέρδη για τη χρήση 2025 ανήλθαν σε €7 εκ., μειωμένα κατά 52% σε ετήσια βάση· ωστόσο, επανήλθαν σε θετικό πρόσημο κατά το β’ εξάμηνο του 2025 από €(2) εκ. στο α’ εξάμηνο του ίδιου έτους. Το γεγονός αυτό καταδεικνύει ότι η συλλογική ανάπτυξη του ομίλου αντισταθμίζει την επίδραση των Μη Ελεγχουσών Συμμετοχών, οδηγώντας σε ισχυρές αποδόσεις για τους μετόχους μεσοπρόθεσμα, υποστηριζόμενες και από το πρόσθετο όφελος από τις κοινοπραξίες (JVs) του οργανισμού.</w:t>
      </w:r>
    </w:p>
    <w:p w14:paraId="55BBF4A2" w14:textId="77777777" w:rsidR="008B4E8E" w:rsidRDefault="008B4E8E" w:rsidP="008B4E8E">
      <w:pPr>
        <w:pStyle w:val="ListParagraph"/>
        <w:numPr>
          <w:ilvl w:val="0"/>
          <w:numId w:val="5"/>
        </w:numPr>
        <w:spacing w:line="276" w:lineRule="auto"/>
        <w:contextualSpacing w:val="0"/>
        <w:jc w:val="both"/>
        <w:rPr>
          <w:lang w:eastAsia="el-GR"/>
        </w:rPr>
      </w:pPr>
      <w:r>
        <w:rPr>
          <w:sz w:val="20"/>
          <w:szCs w:val="20"/>
        </w:rPr>
        <w:t>Ο δείκτης Κεφαλαιακών Επενδύσεων/Έσοδα αυξήθηκε οριακά σε 8,6% για τη χρήση 2025 έναντι της μεσοπρόθεσμης καθοδήγησης 7%, λόγω προληπτικών επενδύσεων στην ΤΝ και στο Deep Tech, με στόχο την τοποθέτηση του ομίλου μπροστά από τις τεχνολογικές εξελίξεις και την ενίσχυση του ανταγωνιστικού πλεονεκτήματος των λύσεών του. Οι επενδύσεις αυτές περιλαμβάνουν το Qualco Centre for Applied Research &amp; Technology (QART), το οποίο αναπτύσσει αλγοριθμικές λύσεις και συστήματα διττής χρήσης (Dual-Use Systems).</w:t>
      </w:r>
    </w:p>
    <w:p w14:paraId="26A4DD92" w14:textId="77777777" w:rsidR="008B4E8E" w:rsidRDefault="008B4E8E" w:rsidP="008B4E8E">
      <w:pPr>
        <w:pStyle w:val="ListParagraph"/>
        <w:numPr>
          <w:ilvl w:val="0"/>
          <w:numId w:val="5"/>
        </w:numPr>
        <w:spacing w:line="276" w:lineRule="auto"/>
        <w:contextualSpacing w:val="0"/>
        <w:jc w:val="both"/>
        <w:rPr>
          <w:lang w:eastAsia="el-GR"/>
        </w:rPr>
      </w:pPr>
      <w:r>
        <w:rPr>
          <w:sz w:val="20"/>
          <w:szCs w:val="20"/>
        </w:rPr>
        <w:t>Οι ταμειακές ροές από λειτουργικές δραστηριότητες αυξήθηκαν σημαντικά, ανοίγοντας τον δρόμο για περαιτέρω βελτίωση του κεφαλαίου κίνησης, σύμφωνα με το Σχέδιο IPO.</w:t>
      </w:r>
    </w:p>
    <w:p w14:paraId="1DD4E10A" w14:textId="77777777" w:rsidR="008B4E8E" w:rsidRDefault="008B4E8E" w:rsidP="008B4E8E">
      <w:pPr>
        <w:pStyle w:val="ListParagraph"/>
        <w:numPr>
          <w:ilvl w:val="0"/>
          <w:numId w:val="5"/>
        </w:numPr>
        <w:spacing w:line="276" w:lineRule="auto"/>
        <w:contextualSpacing w:val="0"/>
        <w:jc w:val="both"/>
        <w:rPr>
          <w:lang w:eastAsia="el-GR"/>
        </w:rPr>
      </w:pPr>
      <w:r>
        <w:rPr>
          <w:sz w:val="20"/>
          <w:szCs w:val="20"/>
        </w:rPr>
        <w:t>Ο όμιλος σημείωσε μετατροπή σε μετρητά 48% για τη χρήση 2025, σε ευθυγράμμιση με την καθοδήγηση.</w:t>
      </w:r>
    </w:p>
    <w:p w14:paraId="0AC9FC8D" w14:textId="77777777" w:rsidR="008B4E8E" w:rsidRDefault="008B4E8E" w:rsidP="008B4E8E">
      <w:pPr>
        <w:pStyle w:val="ListParagraph"/>
        <w:numPr>
          <w:ilvl w:val="0"/>
          <w:numId w:val="5"/>
        </w:numPr>
        <w:spacing w:line="276" w:lineRule="auto"/>
        <w:contextualSpacing w:val="0"/>
        <w:jc w:val="both"/>
        <w:rPr>
          <w:lang w:eastAsia="el-GR"/>
        </w:rPr>
      </w:pPr>
      <w:r>
        <w:rPr>
          <w:sz w:val="20"/>
          <w:szCs w:val="20"/>
        </w:rPr>
        <w:t>Το μέσο κόστος δανεισμού διαμορφώθηκε σε 3.9% για τη χρήση 2025 έναντι 4.8% στη χρήση 2024 και 4.0% στο α’ εξάμηνο 2025, παρά την άνοδο των διατραπεζικών επιτοκίων και την αναστολή των μειώσεων επιτοκίων της ΕΚΤ από τον Ιούλιο 2025. Παράλληλα, ο οργανισμός επωφελήθηκε από την πρόσθετη αξιοποίηση του RRF.</w:t>
      </w:r>
    </w:p>
    <w:p w14:paraId="01EA5E61" w14:textId="77777777" w:rsidR="008B4E8E" w:rsidRDefault="008B4E8E" w:rsidP="008B4E8E">
      <w:pPr>
        <w:pStyle w:val="ListParagraph"/>
        <w:numPr>
          <w:ilvl w:val="0"/>
          <w:numId w:val="5"/>
        </w:numPr>
        <w:spacing w:line="276" w:lineRule="auto"/>
        <w:contextualSpacing w:val="0"/>
        <w:jc w:val="both"/>
        <w:rPr>
          <w:lang w:eastAsia="el-GR"/>
        </w:rPr>
      </w:pPr>
      <w:r>
        <w:rPr>
          <w:sz w:val="20"/>
          <w:szCs w:val="20"/>
        </w:rPr>
        <w:t>Η ταμειακή θέση, εξαιρουμένων των εναπομενόντων εσόδων από την IPO, ανήλθε σε €39 εκ. και εξακολουθεί να παρουσιάζει σημαντική βελτίωση έναντι της χρήσης 2024, λόγω της ισχυρής κερδοφορίας του 2025 και της ενισχυμένης διαχείρισης ταμειακών ροών.</w:t>
      </w:r>
    </w:p>
    <w:p w14:paraId="173368B6" w14:textId="77777777" w:rsidR="008B4E8E" w:rsidRPr="008B4E8E" w:rsidRDefault="008B4E8E" w:rsidP="008B4E8E">
      <w:pPr>
        <w:ind w:left="360"/>
        <w:rPr>
          <w:lang w:val="el-GR" w:eastAsia="el-GR"/>
        </w:rPr>
      </w:pPr>
      <w:r w:rsidRPr="008B4E8E">
        <w:rPr>
          <w:b/>
          <w:bCs/>
          <w:sz w:val="20"/>
          <w:szCs w:val="20"/>
          <w:lang w:val="el-GR"/>
        </w:rPr>
        <w:t xml:space="preserve">Ενημέρωση για τα Έσοδα από την </w:t>
      </w:r>
      <w:r>
        <w:rPr>
          <w:b/>
          <w:bCs/>
          <w:sz w:val="20"/>
          <w:szCs w:val="20"/>
        </w:rPr>
        <w:t>IPO</w:t>
      </w:r>
    </w:p>
    <w:p w14:paraId="2A44CDCF" w14:textId="77777777" w:rsidR="008B4E8E" w:rsidRDefault="008B4E8E" w:rsidP="008B4E8E">
      <w:pPr>
        <w:pStyle w:val="ListParagraph"/>
        <w:numPr>
          <w:ilvl w:val="0"/>
          <w:numId w:val="5"/>
        </w:numPr>
        <w:spacing w:line="276" w:lineRule="auto"/>
        <w:contextualSpacing w:val="0"/>
        <w:jc w:val="both"/>
        <w:rPr>
          <w:lang w:eastAsia="el-GR"/>
        </w:rPr>
      </w:pPr>
      <w:r>
        <w:rPr>
          <w:sz w:val="20"/>
          <w:szCs w:val="20"/>
        </w:rPr>
        <w:t>Οι επενδύσεις από τα έσοδα της IPO εξελίσσονται σύμφωνα με το χρονοδιάγραμμα των 18 μηνών (64% έχει κατανεμηθεί σε επενδύσεις εντός του πρώτου έτους).</w:t>
      </w:r>
    </w:p>
    <w:p w14:paraId="2C9857D1" w14:textId="77777777" w:rsidR="008B4E8E" w:rsidRDefault="008B4E8E" w:rsidP="008B4E8E">
      <w:pPr>
        <w:pStyle w:val="ListParagraph"/>
        <w:numPr>
          <w:ilvl w:val="0"/>
          <w:numId w:val="5"/>
        </w:numPr>
        <w:spacing w:line="276" w:lineRule="auto"/>
        <w:contextualSpacing w:val="0"/>
        <w:jc w:val="both"/>
        <w:rPr>
          <w:lang w:eastAsia="el-GR"/>
        </w:rPr>
      </w:pPr>
      <w:r>
        <w:rPr>
          <w:sz w:val="20"/>
          <w:szCs w:val="20"/>
        </w:rPr>
        <w:t>Έσοδα IPO που χρησιμοποιήθηκαν για M&amp;A περιλαμβάνουν τις επενδύσεις στις Empedus, Cenobe, Middle Office, DD Synergy και την ίδρυση της Quento, βραχίονα ICT του ομίλου Qualco.</w:t>
      </w:r>
    </w:p>
    <w:p w14:paraId="6B6DA9B1" w14:textId="77777777" w:rsidR="008B4E8E" w:rsidRDefault="008B4E8E" w:rsidP="008B4E8E">
      <w:pPr>
        <w:pStyle w:val="ListParagraph"/>
        <w:numPr>
          <w:ilvl w:val="0"/>
          <w:numId w:val="5"/>
        </w:numPr>
        <w:spacing w:line="276" w:lineRule="auto"/>
        <w:contextualSpacing w:val="0"/>
        <w:jc w:val="both"/>
        <w:rPr>
          <w:lang w:eastAsia="el-GR"/>
        </w:rPr>
      </w:pPr>
      <w:r>
        <w:rPr>
          <w:sz w:val="20"/>
          <w:szCs w:val="20"/>
        </w:rPr>
        <w:t>Έσοδα IPO που χρησιμοποιήθηκαν για Πλατφόρμες περιλαμβάνουν τις επενδύσεις στις πλατφόρμες ακινήτων &amp; στεγαστικών δανείων Uniko και ODS, την πλατφόρμα οικονομικής εξυγίανσης του Ηνωμένου Βασιλείου Togglit και την πλατφόρμα EPS Panel Manager του Ηνωμένου Βασιλείου.</w:t>
      </w:r>
    </w:p>
    <w:p w14:paraId="6913D10D" w14:textId="77777777" w:rsidR="008B4E8E" w:rsidRDefault="008B4E8E" w:rsidP="008B4E8E">
      <w:pPr>
        <w:pStyle w:val="ListParagraph"/>
        <w:numPr>
          <w:ilvl w:val="0"/>
          <w:numId w:val="5"/>
        </w:numPr>
        <w:spacing w:line="276" w:lineRule="auto"/>
        <w:contextualSpacing w:val="0"/>
        <w:jc w:val="both"/>
        <w:rPr>
          <w:lang w:eastAsia="el-GR"/>
        </w:rPr>
      </w:pPr>
      <w:r>
        <w:rPr>
          <w:sz w:val="20"/>
          <w:szCs w:val="20"/>
        </w:rPr>
        <w:t>Κεφάλαιο κίνησης: Τα έσοδα της IPO περιλαμβάνουν τη διάθεση των προβλεπόμενων ποσών για τη βελτίωση του κεφαλαίου κίνησης του ομίλου.</w:t>
      </w:r>
    </w:p>
    <w:p w14:paraId="3847D356" w14:textId="77777777" w:rsidR="008B4E8E" w:rsidRPr="008B4E8E" w:rsidRDefault="008B4E8E" w:rsidP="008B4E8E">
      <w:pPr>
        <w:jc w:val="both"/>
        <w:rPr>
          <w:sz w:val="20"/>
          <w:szCs w:val="20"/>
          <w:lang w:val="el-GR"/>
        </w:rPr>
      </w:pPr>
    </w:p>
    <w:p w14:paraId="36836E7F" w14:textId="77777777" w:rsidR="008B4E8E" w:rsidRPr="008B4E8E" w:rsidRDefault="008B4E8E" w:rsidP="008B4E8E">
      <w:pPr>
        <w:ind w:left="360"/>
        <w:jc w:val="both"/>
        <w:rPr>
          <w:lang w:val="el-GR" w:eastAsia="el-GR"/>
        </w:rPr>
      </w:pPr>
      <w:r w:rsidRPr="008B4E8E">
        <w:rPr>
          <w:color w:val="002060"/>
          <w:sz w:val="20"/>
          <w:szCs w:val="20"/>
          <w:lang w:val="el-GR"/>
        </w:rPr>
        <w:t>Για περισσότερες πληροφορίες, ανατρέξτε στην Ετήσια Οικονομική Έκθεση για τη χρήση 2025.</w:t>
      </w:r>
    </w:p>
    <w:p w14:paraId="401EE91D" w14:textId="13A3EE1A" w:rsidR="002863AA" w:rsidRPr="00E1089D" w:rsidRDefault="002863AA" w:rsidP="008C4D22">
      <w:pPr>
        <w:pStyle w:val="NormalWeb"/>
        <w:rPr>
          <w:rFonts w:ascii="Calibri" w:hAnsi="Calibri" w:cs="Calibri"/>
          <w:lang w:val="el-GR"/>
        </w:rPr>
      </w:pPr>
    </w:p>
    <w:sectPr w:rsidR="002863AA" w:rsidRPr="00E1089D" w:rsidSect="00102EAA">
      <w:headerReference w:type="even" r:id="rId11"/>
      <w:headerReference w:type="default" r:id="rId12"/>
      <w:footerReference w:type="even" r:id="rId13"/>
      <w:footerReference w:type="default" r:id="rId14"/>
      <w:headerReference w:type="first" r:id="rId15"/>
      <w:footerReference w:type="first" r:id="rId16"/>
      <w:pgSz w:w="11906" w:h="16838" w:code="9"/>
      <w:pgMar w:top="1620" w:right="1440" w:bottom="19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9C6E9" w14:textId="77777777" w:rsidR="000F7589" w:rsidRDefault="000F7589" w:rsidP="00AF6B8A">
      <w:pPr>
        <w:spacing w:after="0" w:line="240" w:lineRule="auto"/>
      </w:pPr>
      <w:r>
        <w:separator/>
      </w:r>
    </w:p>
  </w:endnote>
  <w:endnote w:type="continuationSeparator" w:id="0">
    <w:p w14:paraId="4F1BEF9C" w14:textId="77777777" w:rsidR="000F7589" w:rsidRDefault="000F7589" w:rsidP="00AF6B8A">
      <w:pPr>
        <w:spacing w:after="0" w:line="240" w:lineRule="auto"/>
      </w:pPr>
      <w:r>
        <w:continuationSeparator/>
      </w:r>
    </w:p>
  </w:endnote>
  <w:endnote w:type="continuationNotice" w:id="1">
    <w:p w14:paraId="6815CBEE" w14:textId="77777777" w:rsidR="000F7589" w:rsidRDefault="000F75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BAAF0" w14:textId="77777777" w:rsidR="00FB2643" w:rsidRDefault="00FB26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E2B06" w14:textId="2C57D70B" w:rsidR="00845D23" w:rsidRDefault="00845D23">
    <w:pPr>
      <w:pStyle w:val="Footer"/>
    </w:pPr>
    <w:r>
      <w:rPr>
        <w:noProof/>
      </w:rPr>
      <w:drawing>
        <wp:anchor distT="0" distB="0" distL="114300" distR="114300" simplePos="0" relativeHeight="251658240" behindDoc="1" locked="0" layoutInCell="1" allowOverlap="1" wp14:anchorId="40E17898" wp14:editId="1CC86664">
          <wp:simplePos x="0" y="0"/>
          <wp:positionH relativeFrom="column">
            <wp:posOffset>-742948</wp:posOffset>
          </wp:positionH>
          <wp:positionV relativeFrom="paragraph">
            <wp:posOffset>-945515</wp:posOffset>
          </wp:positionV>
          <wp:extent cx="7832934" cy="1655956"/>
          <wp:effectExtent l="0" t="0" r="3175" b="0"/>
          <wp:wrapNone/>
          <wp:docPr id="859878780" name="Picture 859878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878780" name="Picture 859878780"/>
                  <pic:cNvPicPr/>
                </pic:nvPicPr>
                <pic:blipFill>
                  <a:blip r:embed="rId1">
                    <a:extLst>
                      <a:ext uri="{28A0092B-C50C-407E-A947-70E740481C1C}">
                        <a14:useLocalDpi xmlns:a14="http://schemas.microsoft.com/office/drawing/2010/main" val="0"/>
                      </a:ext>
                    </a:extLst>
                  </a:blip>
                  <a:stretch>
                    <a:fillRect/>
                  </a:stretch>
                </pic:blipFill>
                <pic:spPr>
                  <a:xfrm>
                    <a:off x="0" y="0"/>
                    <a:ext cx="7832934" cy="1655956"/>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0E630" w14:textId="77777777" w:rsidR="00FB2643" w:rsidRDefault="00FB26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E38BD" w14:textId="77777777" w:rsidR="000F7589" w:rsidRDefault="000F7589" w:rsidP="00AF6B8A">
      <w:pPr>
        <w:spacing w:after="0" w:line="240" w:lineRule="auto"/>
      </w:pPr>
      <w:r>
        <w:separator/>
      </w:r>
    </w:p>
  </w:footnote>
  <w:footnote w:type="continuationSeparator" w:id="0">
    <w:p w14:paraId="661673C4" w14:textId="77777777" w:rsidR="000F7589" w:rsidRDefault="000F7589" w:rsidP="00AF6B8A">
      <w:pPr>
        <w:spacing w:after="0" w:line="240" w:lineRule="auto"/>
      </w:pPr>
      <w:r>
        <w:continuationSeparator/>
      </w:r>
    </w:p>
  </w:footnote>
  <w:footnote w:type="continuationNotice" w:id="1">
    <w:p w14:paraId="4836D714" w14:textId="77777777" w:rsidR="000F7589" w:rsidRDefault="000F75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70101" w14:textId="77777777" w:rsidR="00FB2643" w:rsidRDefault="00FB26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97A7E" w14:textId="0EA6DC4A" w:rsidR="00807F37" w:rsidRDefault="002863AA">
    <w:pPr>
      <w:pStyle w:val="Header"/>
    </w:pPr>
    <w:r>
      <w:rPr>
        <w:noProof/>
      </w:rPr>
      <w:drawing>
        <wp:inline distT="0" distB="0" distL="0" distR="0" wp14:anchorId="799F9B9A" wp14:editId="53104982">
          <wp:extent cx="1333500" cy="488847"/>
          <wp:effectExtent l="0" t="0" r="0" b="0"/>
          <wp:docPr id="1179974140" name="Picture 117997414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974140"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358703" cy="498086"/>
                  </a:xfrm>
                  <a:prstGeom prst="rect">
                    <a:avLst/>
                  </a:prstGeom>
                </pic:spPr>
              </pic:pic>
            </a:graphicData>
          </a:graphic>
        </wp:inline>
      </w:drawing>
    </w:r>
  </w:p>
  <w:p w14:paraId="23BDBEC5" w14:textId="77777777" w:rsidR="00807F37" w:rsidRDefault="00807F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B2305" w14:textId="77777777" w:rsidR="00FB2643" w:rsidRDefault="00FB26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C17BA"/>
    <w:multiLevelType w:val="hybridMultilevel"/>
    <w:tmpl w:val="95345016"/>
    <w:lvl w:ilvl="0" w:tplc="CF4628D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37652D9"/>
    <w:multiLevelType w:val="hybridMultilevel"/>
    <w:tmpl w:val="374EF982"/>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DAE2EB8"/>
    <w:multiLevelType w:val="hybridMultilevel"/>
    <w:tmpl w:val="098ECAB8"/>
    <w:lvl w:ilvl="0" w:tplc="6E589768">
      <w:start w:val="1"/>
      <w:numFmt w:val="bullet"/>
      <w:lvlText w:val=""/>
      <w:lvlJc w:val="left"/>
      <w:pPr>
        <w:tabs>
          <w:tab w:val="num" w:pos="720"/>
        </w:tabs>
        <w:ind w:left="720" w:hanging="360"/>
      </w:pPr>
      <w:rPr>
        <w:rFonts w:ascii="Wingdings" w:hAnsi="Wingdings" w:hint="default"/>
      </w:rPr>
    </w:lvl>
    <w:lvl w:ilvl="1" w:tplc="DFC2A3B8" w:tentative="1">
      <w:start w:val="1"/>
      <w:numFmt w:val="bullet"/>
      <w:lvlText w:val=""/>
      <w:lvlJc w:val="left"/>
      <w:pPr>
        <w:tabs>
          <w:tab w:val="num" w:pos="1440"/>
        </w:tabs>
        <w:ind w:left="1440" w:hanging="360"/>
      </w:pPr>
      <w:rPr>
        <w:rFonts w:ascii="Wingdings" w:hAnsi="Wingdings" w:hint="default"/>
      </w:rPr>
    </w:lvl>
    <w:lvl w:ilvl="2" w:tplc="3A2E8308" w:tentative="1">
      <w:start w:val="1"/>
      <w:numFmt w:val="bullet"/>
      <w:lvlText w:val=""/>
      <w:lvlJc w:val="left"/>
      <w:pPr>
        <w:tabs>
          <w:tab w:val="num" w:pos="2160"/>
        </w:tabs>
        <w:ind w:left="2160" w:hanging="360"/>
      </w:pPr>
      <w:rPr>
        <w:rFonts w:ascii="Wingdings" w:hAnsi="Wingdings" w:hint="default"/>
      </w:rPr>
    </w:lvl>
    <w:lvl w:ilvl="3" w:tplc="54B65FF6" w:tentative="1">
      <w:start w:val="1"/>
      <w:numFmt w:val="bullet"/>
      <w:lvlText w:val=""/>
      <w:lvlJc w:val="left"/>
      <w:pPr>
        <w:tabs>
          <w:tab w:val="num" w:pos="2880"/>
        </w:tabs>
        <w:ind w:left="2880" w:hanging="360"/>
      </w:pPr>
      <w:rPr>
        <w:rFonts w:ascii="Wingdings" w:hAnsi="Wingdings" w:hint="default"/>
      </w:rPr>
    </w:lvl>
    <w:lvl w:ilvl="4" w:tplc="E0B63BBC" w:tentative="1">
      <w:start w:val="1"/>
      <w:numFmt w:val="bullet"/>
      <w:lvlText w:val=""/>
      <w:lvlJc w:val="left"/>
      <w:pPr>
        <w:tabs>
          <w:tab w:val="num" w:pos="3600"/>
        </w:tabs>
        <w:ind w:left="3600" w:hanging="360"/>
      </w:pPr>
      <w:rPr>
        <w:rFonts w:ascii="Wingdings" w:hAnsi="Wingdings" w:hint="default"/>
      </w:rPr>
    </w:lvl>
    <w:lvl w:ilvl="5" w:tplc="112044AC" w:tentative="1">
      <w:start w:val="1"/>
      <w:numFmt w:val="bullet"/>
      <w:lvlText w:val=""/>
      <w:lvlJc w:val="left"/>
      <w:pPr>
        <w:tabs>
          <w:tab w:val="num" w:pos="4320"/>
        </w:tabs>
        <w:ind w:left="4320" w:hanging="360"/>
      </w:pPr>
      <w:rPr>
        <w:rFonts w:ascii="Wingdings" w:hAnsi="Wingdings" w:hint="default"/>
      </w:rPr>
    </w:lvl>
    <w:lvl w:ilvl="6" w:tplc="0AC0E206" w:tentative="1">
      <w:start w:val="1"/>
      <w:numFmt w:val="bullet"/>
      <w:lvlText w:val=""/>
      <w:lvlJc w:val="left"/>
      <w:pPr>
        <w:tabs>
          <w:tab w:val="num" w:pos="5040"/>
        </w:tabs>
        <w:ind w:left="5040" w:hanging="360"/>
      </w:pPr>
      <w:rPr>
        <w:rFonts w:ascii="Wingdings" w:hAnsi="Wingdings" w:hint="default"/>
      </w:rPr>
    </w:lvl>
    <w:lvl w:ilvl="7" w:tplc="8BFE13FA" w:tentative="1">
      <w:start w:val="1"/>
      <w:numFmt w:val="bullet"/>
      <w:lvlText w:val=""/>
      <w:lvlJc w:val="left"/>
      <w:pPr>
        <w:tabs>
          <w:tab w:val="num" w:pos="5760"/>
        </w:tabs>
        <w:ind w:left="5760" w:hanging="360"/>
      </w:pPr>
      <w:rPr>
        <w:rFonts w:ascii="Wingdings" w:hAnsi="Wingdings" w:hint="default"/>
      </w:rPr>
    </w:lvl>
    <w:lvl w:ilvl="8" w:tplc="B6767D7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3E5923"/>
    <w:multiLevelType w:val="hybridMultilevel"/>
    <w:tmpl w:val="BD9CA2F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9F55914"/>
    <w:multiLevelType w:val="hybridMultilevel"/>
    <w:tmpl w:val="2B0A91F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3615B16"/>
    <w:multiLevelType w:val="hybridMultilevel"/>
    <w:tmpl w:val="2E26D992"/>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65365886">
    <w:abstractNumId w:val="1"/>
  </w:num>
  <w:num w:numId="2" w16cid:durableId="1571307050">
    <w:abstractNumId w:val="4"/>
  </w:num>
  <w:num w:numId="3" w16cid:durableId="122503364">
    <w:abstractNumId w:val="0"/>
  </w:num>
  <w:num w:numId="4" w16cid:durableId="1367875855">
    <w:abstractNumId w:val="3"/>
  </w:num>
  <w:num w:numId="5" w16cid:durableId="2130928069">
    <w:abstractNumId w:val="5"/>
  </w:num>
  <w:num w:numId="6" w16cid:durableId="3451344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IytzQxtbQ0MDA1M7BQ0lEKTi0uzszPAykwqgUA1OWc5SwAAAA="/>
  </w:docVars>
  <w:rsids>
    <w:rsidRoot w:val="00AF6B8A"/>
    <w:rsid w:val="00063362"/>
    <w:rsid w:val="000F7589"/>
    <w:rsid w:val="00102EAA"/>
    <w:rsid w:val="00121E30"/>
    <w:rsid w:val="00130746"/>
    <w:rsid w:val="001E10AF"/>
    <w:rsid w:val="00221425"/>
    <w:rsid w:val="00225834"/>
    <w:rsid w:val="002863AA"/>
    <w:rsid w:val="003077F5"/>
    <w:rsid w:val="003412BE"/>
    <w:rsid w:val="003422AB"/>
    <w:rsid w:val="00366F3F"/>
    <w:rsid w:val="00374C29"/>
    <w:rsid w:val="003C72F5"/>
    <w:rsid w:val="00425E74"/>
    <w:rsid w:val="004A1DEC"/>
    <w:rsid w:val="004E06C3"/>
    <w:rsid w:val="0050162C"/>
    <w:rsid w:val="005079B5"/>
    <w:rsid w:val="0055454C"/>
    <w:rsid w:val="00572725"/>
    <w:rsid w:val="005A20CF"/>
    <w:rsid w:val="00610D3B"/>
    <w:rsid w:val="006901FA"/>
    <w:rsid w:val="00744E56"/>
    <w:rsid w:val="00754CDC"/>
    <w:rsid w:val="007A5847"/>
    <w:rsid w:val="00807F37"/>
    <w:rsid w:val="00844817"/>
    <w:rsid w:val="00845D23"/>
    <w:rsid w:val="00862AD8"/>
    <w:rsid w:val="008660DA"/>
    <w:rsid w:val="008B4E8E"/>
    <w:rsid w:val="008C4D22"/>
    <w:rsid w:val="008C5750"/>
    <w:rsid w:val="00965032"/>
    <w:rsid w:val="00A04D93"/>
    <w:rsid w:val="00AC2391"/>
    <w:rsid w:val="00AE5E0F"/>
    <w:rsid w:val="00AF3759"/>
    <w:rsid w:val="00AF6B8A"/>
    <w:rsid w:val="00B24DEB"/>
    <w:rsid w:val="00B345B2"/>
    <w:rsid w:val="00B72F04"/>
    <w:rsid w:val="00B74FEA"/>
    <w:rsid w:val="00B84995"/>
    <w:rsid w:val="00BA1224"/>
    <w:rsid w:val="00BB62FB"/>
    <w:rsid w:val="00BE2129"/>
    <w:rsid w:val="00BF5C37"/>
    <w:rsid w:val="00BF661F"/>
    <w:rsid w:val="00C41C28"/>
    <w:rsid w:val="00C73AAB"/>
    <w:rsid w:val="00DB5F33"/>
    <w:rsid w:val="00DC3580"/>
    <w:rsid w:val="00E1089D"/>
    <w:rsid w:val="00E6697D"/>
    <w:rsid w:val="00EF6181"/>
    <w:rsid w:val="00F30739"/>
    <w:rsid w:val="00F4722A"/>
    <w:rsid w:val="00F82EC2"/>
    <w:rsid w:val="00FB2643"/>
    <w:rsid w:val="00FC379C"/>
    <w:rsid w:val="00FE24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67242A"/>
  <w15:chartTrackingRefBased/>
  <w15:docId w15:val="{18358C41-BE97-446E-A15A-5908A28F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E30"/>
    <w:pPr>
      <w:keepNext/>
      <w:keepLines/>
      <w:spacing w:before="240" w:after="0"/>
      <w:outlineLvl w:val="0"/>
    </w:pPr>
    <w:rPr>
      <w:rFonts w:asciiTheme="majorHAnsi" w:eastAsiaTheme="majorEastAsia" w:hAnsiTheme="majorHAnsi" w:cstheme="majorBidi"/>
      <w:color w:val="2F5496"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6B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B8A"/>
  </w:style>
  <w:style w:type="paragraph" w:styleId="Footer">
    <w:name w:val="footer"/>
    <w:basedOn w:val="Normal"/>
    <w:link w:val="FooterChar"/>
    <w:uiPriority w:val="99"/>
    <w:unhideWhenUsed/>
    <w:rsid w:val="00AF6B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B8A"/>
  </w:style>
  <w:style w:type="paragraph" w:styleId="NormalWeb">
    <w:name w:val="Normal (Web)"/>
    <w:basedOn w:val="Normal"/>
    <w:uiPriority w:val="99"/>
    <w:unhideWhenUsed/>
    <w:rsid w:val="00807F3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2EC2"/>
    <w:rPr>
      <w:b/>
      <w:bCs/>
    </w:rPr>
  </w:style>
  <w:style w:type="character" w:customStyle="1" w:styleId="Heading1Char">
    <w:name w:val="Heading 1 Char"/>
    <w:basedOn w:val="DefaultParagraphFont"/>
    <w:link w:val="Heading1"/>
    <w:uiPriority w:val="9"/>
    <w:rsid w:val="00121E30"/>
    <w:rPr>
      <w:rFonts w:asciiTheme="majorHAnsi" w:eastAsiaTheme="majorEastAsia" w:hAnsiTheme="majorHAnsi" w:cstheme="majorBidi"/>
      <w:color w:val="2F5496" w:themeColor="accent1" w:themeShade="BF"/>
      <w:kern w:val="2"/>
      <w:sz w:val="32"/>
      <w:szCs w:val="32"/>
      <w14:ligatures w14:val="standardContextual"/>
    </w:rPr>
  </w:style>
  <w:style w:type="paragraph" w:styleId="ListParagraph">
    <w:name w:val="List Paragraph"/>
    <w:basedOn w:val="Normal"/>
    <w:uiPriority w:val="34"/>
    <w:qFormat/>
    <w:rsid w:val="008C4D22"/>
    <w:pPr>
      <w:spacing w:line="278" w:lineRule="auto"/>
      <w:ind w:left="720"/>
      <w:contextualSpacing/>
    </w:pPr>
    <w:rPr>
      <w:kern w:val="2"/>
      <w:sz w:val="24"/>
      <w:szCs w:val="24"/>
      <w:lang w:val="el-GR"/>
      <w14:ligatures w14:val="standardContextual"/>
    </w:rPr>
  </w:style>
  <w:style w:type="table" w:styleId="TableGrid">
    <w:name w:val="Table Grid"/>
    <w:basedOn w:val="TableNormal"/>
    <w:uiPriority w:val="39"/>
    <w:rsid w:val="008C4D22"/>
    <w:pPr>
      <w:spacing w:after="0" w:line="240" w:lineRule="auto"/>
    </w:pPr>
    <w:rPr>
      <w:kern w:val="2"/>
      <w:sz w:val="24"/>
      <w:szCs w:val="24"/>
      <w:lang w:val="el-G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36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Έγγραφο" ma:contentTypeID="0x010100766D0E6258DA0B40ABAC786039E2623E" ma:contentTypeVersion="18" ma:contentTypeDescription="Δημιουργία νέου εγγράφου" ma:contentTypeScope="" ma:versionID="2444f62f69aa6597d50051be7f1d6964">
  <xsd:schema xmlns:xsd="http://www.w3.org/2001/XMLSchema" xmlns:xs="http://www.w3.org/2001/XMLSchema" xmlns:p="http://schemas.microsoft.com/office/2006/metadata/properties" xmlns:ns2="bf4156e5-48d8-4971-a0e6-160d02a19357" xmlns:ns3="5cacb347-15ba-4404-be84-1bfb0478f113" targetNamespace="http://schemas.microsoft.com/office/2006/metadata/properties" ma:root="true" ma:fieldsID="2d9d2bf37d58e78eb09a926383634dc7" ns2:_="" ns3:_="">
    <xsd:import namespace="bf4156e5-48d8-4971-a0e6-160d02a19357"/>
    <xsd:import namespace="5cacb347-15ba-4404-be84-1bfb0478f1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4156e5-48d8-4971-a0e6-160d02a19357" elementFormDefault="qualified">
    <xsd:import namespace="http://schemas.microsoft.com/office/2006/documentManagement/types"/>
    <xsd:import namespace="http://schemas.microsoft.com/office/infopath/2007/PartnerControls"/>
    <xsd:element name="SharedWithUsers" ma:index="8"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Κοινή χρήση με λεπτομέρειες" ma:internalName="SharedWithDetails" ma:readOnly="true">
      <xsd:simpleType>
        <xsd:restriction base="dms:Note">
          <xsd:maxLength value="255"/>
        </xsd:restriction>
      </xsd:simpleType>
    </xsd:element>
    <xsd:element name="TaxCatchAll" ma:index="23" nillable="true" ma:displayName="Taxonomy Catch All Column" ma:hidden="true" ma:list="{26b2b091-a990-4d5a-941d-a2f05be4cf42}" ma:internalName="TaxCatchAll" ma:showField="CatchAllData" ma:web="bf4156e5-48d8-4971-a0e6-160d02a193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acb347-15ba-4404-be84-1bfb0478f1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Ετικέτες εικόνας" ma:readOnly="false" ma:fieldId="{5cf76f15-5ced-4ddc-b409-7134ff3c332f}" ma:taxonomyMulti="true" ma:sspId="a34fecec-d430-48c4-a3b2-4297d4a67e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acb347-15ba-4404-be84-1bfb0478f113">
      <Terms xmlns="http://schemas.microsoft.com/office/infopath/2007/PartnerControls"/>
    </lcf76f155ced4ddcb4097134ff3c332f>
    <TaxCatchAll xmlns="bf4156e5-48d8-4971-a0e6-160d02a19357" xsi:nil="true"/>
  </documentManagement>
</p:properties>
</file>

<file path=customXml/itemProps1.xml><?xml version="1.0" encoding="utf-8"?>
<ds:datastoreItem xmlns:ds="http://schemas.openxmlformats.org/officeDocument/2006/customXml" ds:itemID="{25614786-635A-4376-801C-CCF5B2F9F053}">
  <ds:schemaRefs>
    <ds:schemaRef ds:uri="http://schemas.microsoft.com/sharepoint/v3/contenttype/forms"/>
  </ds:schemaRefs>
</ds:datastoreItem>
</file>

<file path=customXml/itemProps2.xml><?xml version="1.0" encoding="utf-8"?>
<ds:datastoreItem xmlns:ds="http://schemas.openxmlformats.org/officeDocument/2006/customXml" ds:itemID="{F892B090-4CC3-449D-B22B-3EF5B05B1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4156e5-48d8-4971-a0e6-160d02a19357"/>
    <ds:schemaRef ds:uri="5cacb347-15ba-4404-be84-1bfb0478f1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7D0423-BEA9-4514-84A5-F2D87A3D6D88}">
  <ds:schemaRefs>
    <ds:schemaRef ds:uri="http://schemas.microsoft.com/office/2006/metadata/properties"/>
    <ds:schemaRef ds:uri="http://schemas.microsoft.com/office/infopath/2007/PartnerControls"/>
    <ds:schemaRef ds:uri="5cacb347-15ba-4404-be84-1bfb0478f113"/>
    <ds:schemaRef ds:uri="bf4156e5-48d8-4971-a0e6-160d02a19357"/>
  </ds:schemaRefs>
</ds:datastoreItem>
</file>

<file path=docMetadata/LabelInfo.xml><?xml version="1.0" encoding="utf-8"?>
<clbl:labelList xmlns:clbl="http://schemas.microsoft.com/office/2020/mipLabelMetadata">
  <clbl:label id="{2c377885-5aa2-4436-8319-ef9a921232ad}" enabled="1" method="Privileged" siteId="{2c5971a1-c5f6-4c14-b5e2-4e42d85acf1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5</Pages>
  <Words>1608</Words>
  <Characters>9443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Qualco SA</Company>
  <LinksUpToDate>false</LinksUpToDate>
  <CharactersWithSpaces>11029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Iliopoulos Spyros, Qualco</dc:creator>
  <cp:keywords/>
  <dc:description/>
  <cp:lastModifiedBy>Drosi Eleni,Qualco</cp:lastModifiedBy>
  <cp:revision>9</cp:revision>
  <dcterms:created xsi:type="dcterms:W3CDTF">2025-06-23T06:00:00Z</dcterms:created>
  <dcterms:modified xsi:type="dcterms:W3CDTF">2026-04-21T12:24:00Z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c377885-5aa2-4436-8319-ef9a921232ad_Enabled">
    <vt:lpwstr>true</vt:lpwstr>
  </property>
  <property fmtid="{D5CDD505-2E9C-101B-9397-08002B2CF9AE}" pid="3" name="MSIP_Label_2c377885-5aa2-4436-8319-ef9a921232ad_SetDate">
    <vt:lpwstr>2022-11-07T07:24:42Z</vt:lpwstr>
  </property>
  <property fmtid="{D5CDD505-2E9C-101B-9397-08002B2CF9AE}" pid="4" name="MSIP_Label_2c377885-5aa2-4436-8319-ef9a921232ad_Method">
    <vt:lpwstr>Privileged</vt:lpwstr>
  </property>
  <property fmtid="{D5CDD505-2E9C-101B-9397-08002B2CF9AE}" pid="5" name="MSIP_Label_2c377885-5aa2-4436-8319-ef9a921232ad_Name">
    <vt:lpwstr>Public - Not Marked</vt:lpwstr>
  </property>
  <property fmtid="{D5CDD505-2E9C-101B-9397-08002B2CF9AE}" pid="6" name="MSIP_Label_2c377885-5aa2-4436-8319-ef9a921232ad_SiteId">
    <vt:lpwstr>2c5971a1-c5f6-4c14-b5e2-4e42d85acf1f</vt:lpwstr>
  </property>
  <property fmtid="{D5CDD505-2E9C-101B-9397-08002B2CF9AE}" pid="7" name="MSIP_Label_2c377885-5aa2-4436-8319-ef9a921232ad_ActionId">
    <vt:lpwstr>99b35afb-a88f-449b-a5a5-edb34a490e66</vt:lpwstr>
  </property>
  <property fmtid="{D5CDD505-2E9C-101B-9397-08002B2CF9AE}" pid="8" name="MSIP_Label_2c377885-5aa2-4436-8319-ef9a921232ad_ContentBits">
    <vt:lpwstr>0</vt:lpwstr>
  </property>
  <property fmtid="{D5CDD505-2E9C-101B-9397-08002B2CF9AE}" pid="9" name="ContentTypeId">
    <vt:lpwstr>0x010100766D0E6258DA0B40ABAC786039E2623E</vt:lpwstr>
  </property>
  <property fmtid="{D5CDD505-2E9C-101B-9397-08002B2CF9AE}" pid="10" name="MediaServiceImageTags">
    <vt:lpwstr/>
  </property>
  <property fmtid="{D5CDD505-2E9C-101B-9397-08002B2CF9AE}" pid="11" name="GrammarlyDocumentId">
    <vt:lpwstr>1948cadc-ad28-4ca8-af4d-d644b2e297cb</vt:lpwstr>
  </property>
</Properties>
</file>