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2657475</wp:posOffset>
            </wp:positionH>
            <wp:positionV relativeFrom="page">
              <wp:posOffset>48260</wp:posOffset>
            </wp:positionV>
            <wp:extent cx="2000250" cy="134715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0250" cy="13471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i w:val="0"/>
          <w:iCs w:val="0"/>
          <w:smallCaps w:val="0"/>
          <w:strike w:val="0"/>
          <w:sz w:val="22"/>
          <w:szCs w:val="22"/>
          <w:u w:val="none"/>
          <w:shd w:fill="auto" w:val="clear"/>
          <w:vertAlign w:val="baseline"/>
        </w:rPr>
      </w:pPr>
      <w:r w:rsidDel="00000000" w:rsidR="00000000" w:rsidRPr="00000000">
        <w:rPr>
          <w:b w:val="1"/>
          <w:bCs w:val="1"/>
          <w:i w:val="0"/>
          <w:iCs w:val="0"/>
          <w:smallCaps w:val="0"/>
          <w:strike w:val="0"/>
          <w:sz w:val="22"/>
          <w:szCs w:val="22"/>
          <w:u w:val="none"/>
          <w:shd w:fill="auto" w:val="clear"/>
          <w:vertAlign w:val="baseline"/>
          <w:rtl w:val="0"/>
        </w:rPr>
        <w:t xml:space="preserve">Προς το Προεδρείο της Βουλής των Ελλήνων</w:t>
      </w:r>
      <w:r w:rsidDel="00000000" w:rsidR="00000000" w:rsidRPr="00000000">
        <w:rPr>
          <w:rtl w:val="0"/>
        </w:rPr>
      </w:r>
    </w:p>
    <w:p w:rsidR="00000000" w:rsidDel="00000000" w:rsidP="00000000" w:rsidRDefault="00000000" w:rsidRPr="00000000" w14:paraId="00000007">
      <w:pPr>
        <w:widowControl w:val="0"/>
        <w:spacing w:after="240" w:before="240" w:line="276" w:lineRule="auto"/>
        <w:jc w:val="center"/>
        <w:rPr>
          <w:b w:val="1"/>
          <w:bCs w:val="1"/>
          <w:sz w:val="22"/>
          <w:szCs w:val="22"/>
        </w:rPr>
      </w:pPr>
      <w:r w:rsidDel="00000000" w:rsidR="00000000" w:rsidRPr="00000000">
        <w:rPr>
          <w:b w:val="1"/>
          <w:bCs w:val="1"/>
          <w:sz w:val="22"/>
          <w:szCs w:val="22"/>
          <w:rtl w:val="0"/>
        </w:rPr>
        <w:t xml:space="preserve">ΑΝΑΦΟΡΑ</w:t>
        <w:br w:type="textWrapping"/>
        <w:t xml:space="preserve">Για τον κ. Υπουργό Εθνικής Άμυνας</w:t>
      </w:r>
    </w:p>
    <w:p w:rsidR="00000000" w:rsidDel="00000000" w:rsidP="00000000" w:rsidRDefault="00000000" w:rsidRPr="00000000" w14:paraId="00000008">
      <w:pPr>
        <w:widowControl w:val="0"/>
        <w:spacing w:after="0" w:before="0" w:line="276" w:lineRule="auto"/>
        <w:jc w:val="both"/>
        <w:rPr>
          <w:b w:val="1"/>
          <w:bCs w:val="1"/>
          <w:sz w:val="22"/>
          <w:szCs w:val="22"/>
        </w:rPr>
      </w:pPr>
      <w:r w:rsidDel="00000000" w:rsidR="00000000" w:rsidRPr="00000000">
        <w:rPr>
          <w:b w:val="1"/>
          <w:bCs w:val="1"/>
          <w:sz w:val="22"/>
          <w:szCs w:val="22"/>
          <w:rtl w:val="0"/>
        </w:rPr>
        <w:t xml:space="preserve">Θέμα: «Δυσλειτουργίες στην υγειονομική μέριμνα των στρατιωτικών: Καθυστερήσεις και αποκλεισμοί»</w:t>
      </w:r>
    </w:p>
    <w:p w:rsidR="00000000" w:rsidDel="00000000" w:rsidP="00000000" w:rsidRDefault="00000000" w:rsidRPr="00000000" w14:paraId="00000009">
      <w:pPr>
        <w:widowControl w:val="0"/>
        <w:spacing w:after="0" w:before="0" w:line="276" w:lineRule="auto"/>
        <w:ind w:firstLine="720"/>
        <w:jc w:val="both"/>
        <w:rPr>
          <w:sz w:val="22"/>
          <w:szCs w:val="22"/>
        </w:rPr>
      </w:pPr>
      <w:r w:rsidDel="00000000" w:rsidR="00000000" w:rsidRPr="00000000">
        <w:rPr>
          <w:sz w:val="22"/>
          <w:szCs w:val="22"/>
          <w:rtl w:val="0"/>
        </w:rPr>
        <w:t xml:space="preserve">Ο Βουλευτής Λάρισας Κόκκαλης Βασίλειος καταθέτει προς τον κ. Υπουργό Εθνικής Άμυνας ως Αναφορά την υπ’ αριθμ. πρωτ. 133/2026 επιστολή της Πανελλήνιας Ομοσπονδίας Ενώσεων Στρατιωτικών (Π.ΟΜ.ΕΝ.Σ.), με την οποία αναδεικνύεται σειρά σοβαρών δυσλειτουργιών που αφορούν την εφαρμογή του πλαισίου υγειονομικής μέριμνας και ειδικών αδειών για τα στελέχη των Ενόπλων Δυνάμεων.</w:t>
      </w:r>
    </w:p>
    <w:p w:rsidR="00000000" w:rsidDel="00000000" w:rsidP="00000000" w:rsidRDefault="00000000" w:rsidRPr="00000000" w14:paraId="0000000A">
      <w:pPr>
        <w:widowControl w:val="0"/>
        <w:spacing w:after="0" w:before="0" w:line="276" w:lineRule="auto"/>
        <w:ind w:firstLine="720"/>
        <w:jc w:val="both"/>
        <w:rPr>
          <w:sz w:val="22"/>
          <w:szCs w:val="22"/>
        </w:rPr>
      </w:pPr>
      <w:r w:rsidDel="00000000" w:rsidR="00000000" w:rsidRPr="00000000">
        <w:rPr>
          <w:sz w:val="22"/>
          <w:szCs w:val="22"/>
          <w:rtl w:val="0"/>
        </w:rPr>
        <w:t xml:space="preserve">Σύμφωνα με την επιστολή, «</w:t>
      </w:r>
      <w:r w:rsidDel="00000000" w:rsidR="00000000" w:rsidRPr="00000000">
        <w:rPr>
          <w:i w:val="1"/>
          <w:iCs w:val="1"/>
          <w:sz w:val="22"/>
          <w:szCs w:val="22"/>
          <w:rtl w:val="0"/>
        </w:rPr>
        <w:t xml:space="preserve">η διασφάλιση της υγείας του προσωπικού αποτελεί θεμελιώδη υποχρέωση της Πολιτείας, συνδέεται άμεσα με την επιχειρησιακή ετοιμότητα και οφείλει να παρέχεται με όρους ισότητας, ταχύτητας και αποτελεσματικότητας</w:t>
      </w:r>
      <w:r w:rsidDel="00000000" w:rsidR="00000000" w:rsidRPr="00000000">
        <w:rPr>
          <w:sz w:val="22"/>
          <w:szCs w:val="22"/>
          <w:rtl w:val="0"/>
        </w:rPr>
        <w:t xml:space="preserve">».</w:t>
      </w:r>
    </w:p>
    <w:p w:rsidR="00000000" w:rsidDel="00000000" w:rsidP="00000000" w:rsidRDefault="00000000" w:rsidRPr="00000000" w14:paraId="0000000B">
      <w:pPr>
        <w:widowControl w:val="0"/>
        <w:spacing w:after="0" w:before="0" w:line="276" w:lineRule="auto"/>
        <w:ind w:firstLine="720"/>
        <w:jc w:val="both"/>
        <w:rPr>
          <w:sz w:val="22"/>
          <w:szCs w:val="22"/>
        </w:rPr>
      </w:pPr>
      <w:r w:rsidDel="00000000" w:rsidR="00000000" w:rsidRPr="00000000">
        <w:rPr>
          <w:sz w:val="22"/>
          <w:szCs w:val="22"/>
          <w:rtl w:val="0"/>
        </w:rPr>
        <w:t xml:space="preserve">Ιδιαίτερη αναφορά γίνεται στις «</w:t>
      </w:r>
      <w:r w:rsidDel="00000000" w:rsidR="00000000" w:rsidRPr="00000000">
        <w:rPr>
          <w:i w:val="1"/>
          <w:iCs w:val="1"/>
          <w:sz w:val="22"/>
          <w:szCs w:val="22"/>
          <w:rtl w:val="0"/>
        </w:rPr>
        <w:t xml:space="preserve">σημαντικές και αδικαιολόγητες καθυστερήσεις στην έκδοση εγκριτικών αποφάσεων για τη χορήγηση ειδικής άδειας τριάντα (30) ημερών</w:t>
      </w:r>
      <w:r w:rsidDel="00000000" w:rsidR="00000000" w:rsidRPr="00000000">
        <w:rPr>
          <w:sz w:val="22"/>
          <w:szCs w:val="22"/>
          <w:rtl w:val="0"/>
        </w:rPr>
        <w:t xml:space="preserve">», ακόμη και σε περιπτώσεις πλήρως τεκμηριωμένων αιτημάτων. Όπως επισημαίνεται, «</w:t>
      </w:r>
      <w:r w:rsidDel="00000000" w:rsidR="00000000" w:rsidRPr="00000000">
        <w:rPr>
          <w:i w:val="1"/>
          <w:iCs w:val="1"/>
          <w:sz w:val="22"/>
          <w:szCs w:val="22"/>
          <w:rtl w:val="0"/>
        </w:rPr>
        <w:t xml:space="preserve">η διαδικασία σε πολλές περιπτώσεις παραμένει σε εκκρεμότητα για μεγάλο χρονικό διάστημα</w:t>
      </w:r>
      <w:r w:rsidDel="00000000" w:rsidR="00000000" w:rsidRPr="00000000">
        <w:rPr>
          <w:sz w:val="22"/>
          <w:szCs w:val="22"/>
          <w:rtl w:val="0"/>
        </w:rPr>
        <w:t xml:space="preserve">», με αποτέλεσμα «</w:t>
      </w:r>
      <w:r w:rsidDel="00000000" w:rsidR="00000000" w:rsidRPr="00000000">
        <w:rPr>
          <w:i w:val="1"/>
          <w:iCs w:val="1"/>
          <w:sz w:val="22"/>
          <w:szCs w:val="22"/>
          <w:rtl w:val="0"/>
        </w:rPr>
        <w:t xml:space="preserve">την ουσιαστική στέρηση του δικαιώματος λήψης της άδειας</w:t>
      </w:r>
      <w:r w:rsidDel="00000000" w:rsidR="00000000" w:rsidRPr="00000000">
        <w:rPr>
          <w:sz w:val="22"/>
          <w:szCs w:val="22"/>
          <w:rtl w:val="0"/>
        </w:rPr>
        <w:t xml:space="preserve">», ιδίως όταν «</w:t>
      </w:r>
      <w:r w:rsidDel="00000000" w:rsidR="00000000" w:rsidRPr="00000000">
        <w:rPr>
          <w:i w:val="1"/>
          <w:iCs w:val="1"/>
          <w:sz w:val="22"/>
          <w:szCs w:val="22"/>
          <w:rtl w:val="0"/>
        </w:rPr>
        <w:t xml:space="preserve">η ισχύς της γνωμάτευσης [...] λήγει εντός του έτους</w:t>
      </w:r>
      <w:r w:rsidDel="00000000" w:rsidR="00000000" w:rsidRPr="00000000">
        <w:rPr>
          <w:sz w:val="22"/>
          <w:szCs w:val="22"/>
          <w:rtl w:val="0"/>
        </w:rPr>
        <w:t xml:space="preserve">».</w:t>
      </w:r>
    </w:p>
    <w:p w:rsidR="00000000" w:rsidDel="00000000" w:rsidP="00000000" w:rsidRDefault="00000000" w:rsidRPr="00000000" w14:paraId="0000000C">
      <w:pPr>
        <w:widowControl w:val="0"/>
        <w:spacing w:after="0" w:before="0" w:line="276" w:lineRule="auto"/>
        <w:ind w:firstLine="720"/>
        <w:jc w:val="both"/>
        <w:rPr>
          <w:sz w:val="22"/>
          <w:szCs w:val="22"/>
        </w:rPr>
      </w:pPr>
      <w:r w:rsidDel="00000000" w:rsidR="00000000" w:rsidRPr="00000000">
        <w:rPr>
          <w:sz w:val="22"/>
          <w:szCs w:val="22"/>
          <w:rtl w:val="0"/>
        </w:rPr>
        <w:t xml:space="preserve">Τονίζεται δε ότι «</w:t>
      </w:r>
      <w:r w:rsidDel="00000000" w:rsidR="00000000" w:rsidRPr="00000000">
        <w:rPr>
          <w:i w:val="1"/>
          <w:iCs w:val="1"/>
          <w:sz w:val="22"/>
          <w:szCs w:val="22"/>
          <w:rtl w:val="0"/>
        </w:rPr>
        <w:t xml:space="preserve">στελέχη που πληρούν όλες τις νόμιμες προϋποθέσεις, αδυνατούν να ασκήσουν ένα κατοχυρωμένο δικαίωμα, χωρίς δική τους υπαιτιότητα</w:t>
      </w:r>
      <w:r w:rsidDel="00000000" w:rsidR="00000000" w:rsidRPr="00000000">
        <w:rPr>
          <w:sz w:val="22"/>
          <w:szCs w:val="22"/>
          <w:rtl w:val="0"/>
        </w:rPr>
        <w:t xml:space="preserve">», ενώ «</w:t>
      </w:r>
      <w:r w:rsidDel="00000000" w:rsidR="00000000" w:rsidRPr="00000000">
        <w:rPr>
          <w:i w:val="1"/>
          <w:iCs w:val="1"/>
          <w:sz w:val="22"/>
          <w:szCs w:val="22"/>
          <w:rtl w:val="0"/>
        </w:rPr>
        <w:t xml:space="preserve">η πρακτική εφαρμογή αποκλίνει σημαντικά από τον σκοπό των διατάξεων</w:t>
      </w:r>
      <w:r w:rsidDel="00000000" w:rsidR="00000000" w:rsidRPr="00000000">
        <w:rPr>
          <w:sz w:val="22"/>
          <w:szCs w:val="22"/>
          <w:rtl w:val="0"/>
        </w:rPr>
        <w:t xml:space="preserve">», οδηγώντας σε καταστάσεις που «</w:t>
      </w:r>
      <w:r w:rsidDel="00000000" w:rsidR="00000000" w:rsidRPr="00000000">
        <w:rPr>
          <w:i w:val="1"/>
          <w:iCs w:val="1"/>
          <w:sz w:val="22"/>
          <w:szCs w:val="22"/>
          <w:rtl w:val="0"/>
        </w:rPr>
        <w:t xml:space="preserve">υπονομεύουν την αρχή της χρηστής διοίκησης</w:t>
      </w:r>
      <w:r w:rsidDel="00000000" w:rsidR="00000000" w:rsidRPr="00000000">
        <w:rPr>
          <w:sz w:val="22"/>
          <w:szCs w:val="22"/>
          <w:rtl w:val="0"/>
        </w:rPr>
        <w:t xml:space="preserve">».</w:t>
      </w:r>
    </w:p>
    <w:p w:rsidR="00000000" w:rsidDel="00000000" w:rsidP="00000000" w:rsidRDefault="00000000" w:rsidRPr="00000000" w14:paraId="0000000D">
      <w:pPr>
        <w:widowControl w:val="0"/>
        <w:spacing w:after="0" w:before="0" w:line="276" w:lineRule="auto"/>
        <w:ind w:firstLine="720"/>
        <w:jc w:val="both"/>
        <w:rPr>
          <w:sz w:val="22"/>
          <w:szCs w:val="22"/>
        </w:rPr>
      </w:pPr>
      <w:r w:rsidDel="00000000" w:rsidR="00000000" w:rsidRPr="00000000">
        <w:rPr>
          <w:sz w:val="22"/>
          <w:szCs w:val="22"/>
          <w:rtl w:val="0"/>
        </w:rPr>
        <w:t xml:space="preserve">Περαιτέρω, αναδεικνύεται ο «</w:t>
      </w:r>
      <w:r w:rsidDel="00000000" w:rsidR="00000000" w:rsidRPr="00000000">
        <w:rPr>
          <w:i w:val="1"/>
          <w:iCs w:val="1"/>
          <w:sz w:val="22"/>
          <w:szCs w:val="22"/>
          <w:rtl w:val="0"/>
        </w:rPr>
        <w:t xml:space="preserve">αποκλεισμός από τη δυνατότητα αξιοποίησης του Συστήματος Ηλεκτρονικής Συνταγογράφησης (ΗΔΙΚΑ)</w:t>
      </w:r>
      <w:r w:rsidDel="00000000" w:rsidR="00000000" w:rsidRPr="00000000">
        <w:rPr>
          <w:sz w:val="22"/>
          <w:szCs w:val="22"/>
          <w:rtl w:val="0"/>
        </w:rPr>
        <w:t xml:space="preserve">», καθώς «</w:t>
      </w:r>
      <w:r w:rsidDel="00000000" w:rsidR="00000000" w:rsidRPr="00000000">
        <w:rPr>
          <w:i w:val="1"/>
          <w:iCs w:val="1"/>
          <w:sz w:val="22"/>
          <w:szCs w:val="22"/>
          <w:rtl w:val="0"/>
        </w:rPr>
        <w:t xml:space="preserve">στρατιωτικός με Σακχαρώδη Διαβήτη Τύπου 1 αδυνατεί να προμηθευτεί αισθητήρες συνεχούς καταγραφής γλυκόζης μέσω ηλεκτρονικής συνταγογράφησης</w:t>
      </w:r>
      <w:r w:rsidDel="00000000" w:rsidR="00000000" w:rsidRPr="00000000">
        <w:rPr>
          <w:sz w:val="22"/>
          <w:szCs w:val="22"/>
          <w:rtl w:val="0"/>
        </w:rPr>
        <w:t xml:space="preserve">», παρά το γεγονός ότι οι εν λόγω παροχές «</w:t>
      </w:r>
      <w:r w:rsidDel="00000000" w:rsidR="00000000" w:rsidRPr="00000000">
        <w:rPr>
          <w:i w:val="1"/>
          <w:iCs w:val="1"/>
          <w:sz w:val="22"/>
          <w:szCs w:val="22"/>
          <w:rtl w:val="0"/>
        </w:rPr>
        <w:t xml:space="preserve">καλύπτονται πλήρως</w:t>
      </w:r>
      <w:r w:rsidDel="00000000" w:rsidR="00000000" w:rsidRPr="00000000">
        <w:rPr>
          <w:sz w:val="22"/>
          <w:szCs w:val="22"/>
          <w:rtl w:val="0"/>
        </w:rPr>
        <w:t xml:space="preserve">», «</w:t>
      </w:r>
      <w:r w:rsidDel="00000000" w:rsidR="00000000" w:rsidRPr="00000000">
        <w:rPr>
          <w:i w:val="1"/>
          <w:iCs w:val="1"/>
          <w:sz w:val="22"/>
          <w:szCs w:val="22"/>
          <w:rtl w:val="0"/>
        </w:rPr>
        <w:t xml:space="preserve">χορηγούνται μέσω ηλεκτρονικ</w:t>
      </w:r>
      <w:r w:rsidDel="00000000" w:rsidR="00000000" w:rsidRPr="00000000">
        <w:rPr>
          <w:sz w:val="22"/>
          <w:szCs w:val="22"/>
          <w:rtl w:val="0"/>
        </w:rPr>
        <w:t xml:space="preserve">ής συνταγογράφησης» και «</w:t>
      </w:r>
      <w:r w:rsidDel="00000000" w:rsidR="00000000" w:rsidRPr="00000000">
        <w:rPr>
          <w:i w:val="1"/>
          <w:iCs w:val="1"/>
          <w:sz w:val="22"/>
          <w:szCs w:val="22"/>
          <w:rtl w:val="0"/>
        </w:rPr>
        <w:t xml:space="preserve">διατίθενται τόσο σε ασφαλισμένους όσο και σε ανασφάλιστους πολίτες</w:t>
      </w:r>
      <w:r w:rsidDel="00000000" w:rsidR="00000000" w:rsidRPr="00000000">
        <w:rPr>
          <w:sz w:val="22"/>
          <w:szCs w:val="22"/>
          <w:rtl w:val="0"/>
        </w:rPr>
        <w:t xml:space="preserve">».</w:t>
      </w:r>
    </w:p>
    <w:p w:rsidR="00000000" w:rsidDel="00000000" w:rsidP="00000000" w:rsidRDefault="00000000" w:rsidRPr="00000000" w14:paraId="0000000E">
      <w:pPr>
        <w:widowControl w:val="0"/>
        <w:spacing w:after="0" w:before="0" w:line="276" w:lineRule="auto"/>
        <w:ind w:firstLine="720"/>
        <w:jc w:val="both"/>
        <w:rPr>
          <w:sz w:val="22"/>
          <w:szCs w:val="22"/>
        </w:rPr>
      </w:pPr>
      <w:r w:rsidDel="00000000" w:rsidR="00000000" w:rsidRPr="00000000">
        <w:rPr>
          <w:sz w:val="22"/>
          <w:szCs w:val="22"/>
          <w:rtl w:val="0"/>
        </w:rPr>
        <w:t xml:space="preserve">Ωστόσο, όπως επισημαίνεται, «</w:t>
      </w:r>
      <w:r w:rsidDel="00000000" w:rsidR="00000000" w:rsidRPr="00000000">
        <w:rPr>
          <w:i w:val="1"/>
          <w:iCs w:val="1"/>
          <w:sz w:val="22"/>
          <w:szCs w:val="22"/>
          <w:rtl w:val="0"/>
        </w:rPr>
        <w:t xml:space="preserve">για τα στελέχη των Ενόπλων Δυνάμεων η συνταγογράφηση μέσω ΗΔΙΚΑ δεν καθίσταται εφικτή, λόγω τεχνικών και διοικητικών περιορισμών</w:t>
      </w:r>
      <w:r w:rsidDel="00000000" w:rsidR="00000000" w:rsidRPr="00000000">
        <w:rPr>
          <w:sz w:val="22"/>
          <w:szCs w:val="22"/>
          <w:rtl w:val="0"/>
        </w:rPr>
        <w:t xml:space="preserve">», με αποτέλεσμα να δημιουργείται «</w:t>
      </w:r>
      <w:r w:rsidDel="00000000" w:rsidR="00000000" w:rsidRPr="00000000">
        <w:rPr>
          <w:i w:val="1"/>
          <w:iCs w:val="1"/>
          <w:sz w:val="22"/>
          <w:szCs w:val="22"/>
          <w:rtl w:val="0"/>
        </w:rPr>
        <w:t xml:space="preserve">σαφής και αδικαιολόγητη διαφοροποίηση εις βάρος των στρατιωτικών</w:t>
      </w:r>
      <w:r w:rsidDel="00000000" w:rsidR="00000000" w:rsidRPr="00000000">
        <w:rPr>
          <w:sz w:val="22"/>
          <w:szCs w:val="22"/>
          <w:rtl w:val="0"/>
        </w:rPr>
        <w:t xml:space="preserve">». Η κατάσταση αυτή «</w:t>
      </w:r>
      <w:r w:rsidDel="00000000" w:rsidR="00000000" w:rsidRPr="00000000">
        <w:rPr>
          <w:i w:val="1"/>
          <w:iCs w:val="1"/>
          <w:sz w:val="22"/>
          <w:szCs w:val="22"/>
          <w:rtl w:val="0"/>
        </w:rPr>
        <w:t xml:space="preserve">πλήττει την αρχή της ισονομίας</w:t>
      </w:r>
      <w:r w:rsidDel="00000000" w:rsidR="00000000" w:rsidRPr="00000000">
        <w:rPr>
          <w:sz w:val="22"/>
          <w:szCs w:val="22"/>
          <w:rtl w:val="0"/>
        </w:rPr>
        <w:t xml:space="preserve">», «</w:t>
      </w:r>
      <w:r w:rsidDel="00000000" w:rsidR="00000000" w:rsidRPr="00000000">
        <w:rPr>
          <w:i w:val="1"/>
          <w:iCs w:val="1"/>
          <w:sz w:val="22"/>
          <w:szCs w:val="22"/>
          <w:rtl w:val="0"/>
        </w:rPr>
        <w:t xml:space="preserve">επιβαρύνει οικονομικά το προσωπικό</w:t>
      </w:r>
      <w:r w:rsidDel="00000000" w:rsidR="00000000" w:rsidRPr="00000000">
        <w:rPr>
          <w:sz w:val="22"/>
          <w:szCs w:val="22"/>
          <w:rtl w:val="0"/>
        </w:rPr>
        <w:t xml:space="preserve">» και «</w:t>
      </w:r>
      <w:r w:rsidDel="00000000" w:rsidR="00000000" w:rsidRPr="00000000">
        <w:rPr>
          <w:i w:val="1"/>
          <w:iCs w:val="1"/>
          <w:sz w:val="22"/>
          <w:szCs w:val="22"/>
          <w:rtl w:val="0"/>
        </w:rPr>
        <w:t xml:space="preserve">δημιουργεί κινδύνους για την υγεία και την επιχειρησιακή ετοιμότητα</w:t>
      </w:r>
      <w:r w:rsidDel="00000000" w:rsidR="00000000" w:rsidRPr="00000000">
        <w:rPr>
          <w:sz w:val="22"/>
          <w:szCs w:val="22"/>
          <w:rtl w:val="0"/>
        </w:rPr>
        <w:t xml:space="preserve">».</w:t>
      </w:r>
    </w:p>
    <w:p w:rsidR="00000000" w:rsidDel="00000000" w:rsidP="00000000" w:rsidRDefault="00000000" w:rsidRPr="00000000" w14:paraId="0000000F">
      <w:pPr>
        <w:widowControl w:val="0"/>
        <w:spacing w:after="0" w:before="0" w:line="276" w:lineRule="auto"/>
        <w:ind w:firstLine="720"/>
        <w:jc w:val="both"/>
        <w:rPr>
          <w:sz w:val="22"/>
          <w:szCs w:val="22"/>
        </w:rPr>
      </w:pPr>
      <w:r w:rsidDel="00000000" w:rsidR="00000000" w:rsidRPr="00000000">
        <w:rPr>
          <w:sz w:val="22"/>
          <w:szCs w:val="22"/>
          <w:rtl w:val="0"/>
        </w:rPr>
        <w:t xml:space="preserve">Συνολικά, υπογραμμίζεται ότι «</w:t>
      </w:r>
      <w:r w:rsidDel="00000000" w:rsidR="00000000" w:rsidRPr="00000000">
        <w:rPr>
          <w:i w:val="1"/>
          <w:iCs w:val="1"/>
          <w:sz w:val="22"/>
          <w:szCs w:val="22"/>
          <w:rtl w:val="0"/>
        </w:rPr>
        <w:t xml:space="preserve">τα ανωτέρω ζητήματα δεν αποτελούν μεμονωμένες περιπτώσεις, αλλά εντάσσονται σε ένα ευρύτερο πλαίσιο δυσλειτουργιών που επηρεάζουν συνολικά την υγειονομική μέριμνα του στρατιωτικού προσωπικού</w:t>
      </w:r>
      <w:r w:rsidDel="00000000" w:rsidR="00000000" w:rsidRPr="00000000">
        <w:rPr>
          <w:sz w:val="22"/>
          <w:szCs w:val="22"/>
          <w:rtl w:val="0"/>
        </w:rPr>
        <w:t xml:space="preserve">».</w:t>
      </w:r>
    </w:p>
    <w:p w:rsidR="00000000" w:rsidDel="00000000" w:rsidP="00000000" w:rsidRDefault="00000000" w:rsidRPr="00000000" w14:paraId="00000010">
      <w:pPr>
        <w:widowControl w:val="0"/>
        <w:spacing w:after="0" w:before="0" w:line="276" w:lineRule="auto"/>
        <w:ind w:firstLine="720"/>
        <w:jc w:val="both"/>
        <w:rPr>
          <w:sz w:val="22"/>
          <w:szCs w:val="22"/>
        </w:rPr>
      </w:pPr>
      <w:r w:rsidDel="00000000" w:rsidR="00000000" w:rsidRPr="00000000">
        <w:rPr>
          <w:sz w:val="22"/>
          <w:szCs w:val="22"/>
          <w:rtl w:val="0"/>
        </w:rPr>
        <w:t xml:space="preserve">Τέλος, επισημαίνεται η ανάγκη άμεσης θεσμικής παρέμβασης, καθώς «</w:t>
      </w:r>
      <w:r w:rsidDel="00000000" w:rsidR="00000000" w:rsidRPr="00000000">
        <w:rPr>
          <w:i w:val="1"/>
          <w:iCs w:val="1"/>
          <w:sz w:val="22"/>
          <w:szCs w:val="22"/>
          <w:rtl w:val="0"/>
        </w:rPr>
        <w:t xml:space="preserve">η υγεία των στελεχών των Ενόπλων Δυνάμεων δεν μπορεί να υπόκειται σε διοικητικές καθυστερήσεις ή τεχνικούς περιορισμούς</w:t>
      </w:r>
      <w:r w:rsidDel="00000000" w:rsidR="00000000" w:rsidRPr="00000000">
        <w:rPr>
          <w:sz w:val="22"/>
          <w:szCs w:val="22"/>
          <w:rtl w:val="0"/>
        </w:rPr>
        <w:t xml:space="preserve">», ενώ «</w:t>
      </w:r>
      <w:r w:rsidDel="00000000" w:rsidR="00000000" w:rsidRPr="00000000">
        <w:rPr>
          <w:i w:val="1"/>
          <w:iCs w:val="1"/>
          <w:sz w:val="22"/>
          <w:szCs w:val="22"/>
          <w:rtl w:val="0"/>
        </w:rPr>
        <w:t xml:space="preserve">η αποκατάσταση της ισονομίας και της αποτελεσματικής υγειονομικής μέριμνας δεν αποτελεί επιλογή, αλλά άμεση θεσμική υποχρέωση της Πολιτείας</w:t>
      </w:r>
      <w:r w:rsidDel="00000000" w:rsidR="00000000" w:rsidRPr="00000000">
        <w:rPr>
          <w:sz w:val="22"/>
          <w:szCs w:val="22"/>
          <w:rtl w:val="0"/>
        </w:rPr>
        <w:t xml:space="preserve">».</w:t>
      </w:r>
    </w:p>
    <w:p w:rsidR="00000000" w:rsidDel="00000000" w:rsidP="00000000" w:rsidRDefault="00000000" w:rsidRPr="00000000" w14:paraId="00000011">
      <w:pPr>
        <w:widowControl w:val="0"/>
        <w:spacing w:after="0" w:before="0" w:line="276" w:lineRule="auto"/>
        <w:ind w:firstLine="720"/>
        <w:jc w:val="both"/>
        <w:rPr>
          <w:sz w:val="22"/>
          <w:szCs w:val="22"/>
        </w:rPr>
      </w:pPr>
      <w:r w:rsidDel="00000000" w:rsidR="00000000" w:rsidRPr="00000000">
        <w:rPr>
          <w:sz w:val="22"/>
          <w:szCs w:val="22"/>
          <w:rtl w:val="0"/>
        </w:rPr>
        <w:t xml:space="preserve">Επισυνάπτεται η σχετική επιστολή.</w:t>
      </w:r>
    </w:p>
    <w:p w:rsidR="00000000" w:rsidDel="00000000" w:rsidP="00000000" w:rsidRDefault="00000000" w:rsidRPr="00000000" w14:paraId="00000012">
      <w:pPr>
        <w:widowControl w:val="0"/>
        <w:spacing w:after="0" w:before="0" w:line="276" w:lineRule="auto"/>
        <w:ind w:firstLine="720"/>
        <w:jc w:val="both"/>
        <w:rPr>
          <w:sz w:val="22"/>
          <w:szCs w:val="22"/>
        </w:rPr>
      </w:pPr>
      <w:r w:rsidDel="00000000" w:rsidR="00000000" w:rsidRPr="00000000">
        <w:rPr>
          <w:sz w:val="22"/>
          <w:szCs w:val="22"/>
          <w:rtl w:val="0"/>
        </w:rPr>
        <w:t xml:space="preserve">Παρακαλούμε για τις άμεσες και δέουσες ενέργειες του Υπουργείου για την αποκατάσταση των ανωτέρω δυσλειτουργιών, καθώς και για σχετική ενημέρωσή μας.</w:t>
      </w:r>
      <w:r w:rsidDel="00000000" w:rsidR="00000000" w:rsidRPr="00000000">
        <w:rPr>
          <w:rtl w:val="0"/>
        </w:rPr>
      </w:r>
    </w:p>
    <w:p w:rsidR="00000000" w:rsidDel="00000000" w:rsidP="00000000" w:rsidRDefault="00000000" w:rsidRPr="00000000" w14:paraId="00000013">
      <w:pPr>
        <w:widowControl w:val="0"/>
        <w:spacing w:after="240" w:before="240" w:line="276" w:lineRule="auto"/>
        <w:jc w:val="right"/>
        <w:rPr>
          <w:b w:val="1"/>
          <w:bCs w:val="1"/>
          <w:sz w:val="22"/>
          <w:szCs w:val="22"/>
        </w:rPr>
      </w:pPr>
      <w:r w:rsidDel="00000000" w:rsidR="00000000" w:rsidRPr="00000000">
        <w:rPr>
          <w:sz w:val="22"/>
          <w:szCs w:val="22"/>
          <w:rtl w:val="0"/>
        </w:rPr>
        <w:t xml:space="preserve">Αθήνα, 30/04/2026</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b w:val="1"/>
          <w:bCs w:val="1"/>
          <w:i w:val="0"/>
          <w:iCs w:val="0"/>
          <w:smallCaps w:val="0"/>
          <w:strike w:val="0"/>
          <w:sz w:val="22"/>
          <w:szCs w:val="22"/>
          <w:u w:val="none"/>
          <w:shd w:fill="auto" w:val="clear"/>
          <w:vertAlign w:val="baseline"/>
        </w:rPr>
      </w:pPr>
      <w:r w:rsidDel="00000000" w:rsidR="00000000" w:rsidRPr="00000000">
        <w:rPr>
          <w:b w:val="1"/>
          <w:bCs w:val="1"/>
          <w:i w:val="0"/>
          <w:iCs w:val="0"/>
          <w:smallCaps w:val="0"/>
          <w:strike w:val="0"/>
          <w:sz w:val="22"/>
          <w:szCs w:val="22"/>
          <w:u w:val="none"/>
          <w:shd w:fill="auto" w:val="clear"/>
          <w:vertAlign w:val="baseline"/>
          <w:rtl w:val="0"/>
        </w:rPr>
        <w:t xml:space="preserve">Ο καταθέτων Βουλευτής</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i w:val="0"/>
          <w:iCs w:val="0"/>
          <w:smallCaps w:val="0"/>
          <w:strike w:val="0"/>
          <w:sz w:val="22"/>
          <w:szCs w:val="22"/>
          <w:u w:val="none"/>
          <w:shd w:fill="auto" w:val="clear"/>
          <w:vertAlign w:val="baseline"/>
        </w:rPr>
      </w:pPr>
      <w:r w:rsidDel="00000000" w:rsidR="00000000" w:rsidRPr="00000000">
        <w:rPr>
          <w:b w:val="1"/>
          <w:bCs w:val="1"/>
          <w:i w:val="0"/>
          <w:iCs w:val="0"/>
          <w:smallCaps w:val="0"/>
          <w:strike w:val="0"/>
          <w:sz w:val="22"/>
          <w:szCs w:val="22"/>
          <w:u w:val="none"/>
          <w:shd w:fill="auto" w:val="clear"/>
          <w:vertAlign w:val="baseline"/>
          <w:rtl w:val="0"/>
        </w:rPr>
        <w:t xml:space="preserve">Κόκκαλης Βασίλειος</w:t>
      </w:r>
    </w:p>
    <w:sectPr>
      <w:pgSz w:h="16838" w:w="11906" w:orient="portrait"/>
      <w:pgMar w:bottom="142" w:top="709" w:left="1134" w:right="12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vm4Ezh0Y/zp7vgCjKV/DOy3jA==">CgMxLjA4AHIhMVF6bUpCZ0tHTlVZRGdxZUkyampkX0EzeEhjUmJjTEZN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