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8486" w14:textId="77777777" w:rsidR="005C258A" w:rsidRPr="00EF05DA" w:rsidRDefault="005C258A" w:rsidP="00114B87">
      <w:pPr>
        <w:ind w:right="5"/>
        <w:jc w:val="both"/>
        <w:rPr>
          <w:rFonts w:cstheme="minorHAnsi"/>
          <w:b/>
          <w:bCs/>
          <w:color w:val="243587"/>
          <w:sz w:val="28"/>
          <w:szCs w:val="28"/>
          <w:lang w:val="el-GR"/>
        </w:rPr>
      </w:pPr>
      <w:r w:rsidRPr="00EF05DA">
        <w:rPr>
          <w:rFonts w:cstheme="minorHAnsi"/>
          <w:b/>
          <w:bCs/>
          <w:color w:val="243587"/>
          <w:sz w:val="28"/>
          <w:szCs w:val="28"/>
          <w:lang w:val="el-GR"/>
        </w:rPr>
        <w:t>ΔΕΛΤΙΟ ΤΥΠΟΥ</w:t>
      </w:r>
    </w:p>
    <w:p w14:paraId="4198E451" w14:textId="77777777" w:rsidR="00111BEB" w:rsidRPr="00EF05DA" w:rsidRDefault="00111BEB" w:rsidP="00114B87">
      <w:pPr>
        <w:ind w:right="5"/>
        <w:jc w:val="both"/>
        <w:rPr>
          <w:rFonts w:cstheme="minorHAnsi"/>
          <w:color w:val="243587"/>
          <w:sz w:val="28"/>
          <w:szCs w:val="28"/>
          <w:lang w:val="el-GR"/>
        </w:rPr>
      </w:pPr>
    </w:p>
    <w:p w14:paraId="6289712A" w14:textId="3C72B2DB" w:rsidR="00636314" w:rsidRPr="00EF05DA" w:rsidRDefault="00F23746" w:rsidP="009812F0">
      <w:pPr>
        <w:ind w:right="5"/>
        <w:jc w:val="both"/>
        <w:rPr>
          <w:rFonts w:cstheme="minorHAnsi"/>
          <w:b/>
          <w:color w:val="243587"/>
          <w:sz w:val="28"/>
          <w:szCs w:val="28"/>
          <w:lang w:val="el-GR"/>
        </w:rPr>
      </w:pPr>
      <w:r>
        <w:rPr>
          <w:rFonts w:cstheme="minorHAnsi"/>
          <w:b/>
          <w:color w:val="243587"/>
          <w:sz w:val="28"/>
          <w:szCs w:val="28"/>
          <w:lang w:val="el-GR"/>
        </w:rPr>
        <w:t xml:space="preserve">Η </w:t>
      </w:r>
      <w:r w:rsidR="00410A64">
        <w:rPr>
          <w:rFonts w:cstheme="minorHAnsi"/>
          <w:b/>
          <w:color w:val="243587"/>
          <w:sz w:val="28"/>
          <w:szCs w:val="28"/>
          <w:lang w:val="en-US"/>
        </w:rPr>
        <w:t>AEGEAN</w:t>
      </w:r>
      <w:r w:rsidR="007B00ED">
        <w:rPr>
          <w:rFonts w:cstheme="minorHAnsi"/>
          <w:b/>
          <w:color w:val="243587"/>
          <w:sz w:val="28"/>
          <w:szCs w:val="28"/>
          <w:lang w:val="el-GR"/>
        </w:rPr>
        <w:t xml:space="preserve"> </w:t>
      </w:r>
      <w:r w:rsidR="00410A64">
        <w:rPr>
          <w:rFonts w:cstheme="minorHAnsi"/>
          <w:b/>
          <w:color w:val="243587"/>
          <w:sz w:val="28"/>
          <w:szCs w:val="28"/>
          <w:lang w:val="el-GR"/>
        </w:rPr>
        <w:t xml:space="preserve">μετέφερε </w:t>
      </w:r>
      <w:r w:rsidR="00347C2B" w:rsidRPr="00D00EA6">
        <w:rPr>
          <w:rFonts w:cstheme="minorHAnsi"/>
          <w:b/>
          <w:color w:val="243587"/>
          <w:sz w:val="28"/>
          <w:szCs w:val="28"/>
          <w:lang w:val="el-GR"/>
        </w:rPr>
        <w:t>15,5 εκατομμύρια επιβάτες</w:t>
      </w:r>
      <w:r w:rsidR="00410A64">
        <w:rPr>
          <w:rFonts w:cstheme="minorHAnsi"/>
          <w:b/>
          <w:color w:val="243587"/>
          <w:sz w:val="28"/>
          <w:szCs w:val="28"/>
          <w:lang w:val="el-GR"/>
        </w:rPr>
        <w:t xml:space="preserve"> το 2023, </w:t>
      </w:r>
      <w:r w:rsidR="00817053">
        <w:rPr>
          <w:rFonts w:cstheme="minorHAnsi"/>
          <w:b/>
          <w:color w:val="243587"/>
          <w:sz w:val="28"/>
          <w:szCs w:val="28"/>
          <w:lang w:val="el-GR"/>
        </w:rPr>
        <w:t xml:space="preserve">αυξημένοι </w:t>
      </w:r>
      <w:r w:rsidR="00410A64">
        <w:rPr>
          <w:rFonts w:cstheme="minorHAnsi"/>
          <w:b/>
          <w:color w:val="243587"/>
          <w:sz w:val="28"/>
          <w:szCs w:val="28"/>
          <w:lang w:val="el-GR"/>
        </w:rPr>
        <w:t>κατά</w:t>
      </w:r>
      <w:r w:rsidR="00A031A9">
        <w:rPr>
          <w:rFonts w:cstheme="minorHAnsi"/>
          <w:b/>
          <w:color w:val="243587"/>
          <w:sz w:val="28"/>
          <w:szCs w:val="28"/>
          <w:lang w:val="el-GR"/>
        </w:rPr>
        <w:t xml:space="preserve"> 3</w:t>
      </w:r>
      <w:r w:rsidR="00410A64">
        <w:rPr>
          <w:rFonts w:cstheme="minorHAnsi"/>
          <w:b/>
          <w:color w:val="243587"/>
          <w:sz w:val="28"/>
          <w:szCs w:val="28"/>
          <w:lang w:val="el-GR"/>
        </w:rPr>
        <w:t>,</w:t>
      </w:r>
      <w:r w:rsidR="00A031A9">
        <w:rPr>
          <w:rFonts w:cstheme="minorHAnsi"/>
          <w:b/>
          <w:color w:val="243587"/>
          <w:sz w:val="28"/>
          <w:szCs w:val="28"/>
          <w:lang w:val="el-GR"/>
        </w:rPr>
        <w:t>2 εκ</w:t>
      </w:r>
      <w:r w:rsidR="00410A64">
        <w:rPr>
          <w:rFonts w:cstheme="minorHAnsi"/>
          <w:b/>
          <w:color w:val="243587"/>
          <w:sz w:val="28"/>
          <w:szCs w:val="28"/>
          <w:lang w:val="el-GR"/>
        </w:rPr>
        <w:t xml:space="preserve">ατ.  συγκριτικά με το προηγούμενο έτος, </w:t>
      </w:r>
      <w:r w:rsidR="007B00ED">
        <w:rPr>
          <w:rFonts w:cstheme="minorHAnsi"/>
          <w:b/>
          <w:color w:val="243587"/>
          <w:sz w:val="28"/>
          <w:szCs w:val="28"/>
          <w:lang w:val="el-GR"/>
        </w:rPr>
        <w:t>σημειώνοντας αύξηση</w:t>
      </w:r>
      <w:r w:rsidR="00CD3FC4">
        <w:rPr>
          <w:rFonts w:cstheme="minorHAnsi"/>
          <w:b/>
          <w:color w:val="243587"/>
          <w:sz w:val="28"/>
          <w:szCs w:val="28"/>
          <w:lang w:val="el-GR"/>
        </w:rPr>
        <w:t xml:space="preserve"> </w:t>
      </w:r>
      <w:r w:rsidR="00A031A9">
        <w:rPr>
          <w:rFonts w:cstheme="minorHAnsi"/>
          <w:b/>
          <w:color w:val="243587"/>
          <w:sz w:val="28"/>
          <w:szCs w:val="28"/>
          <w:lang w:val="el-GR"/>
        </w:rPr>
        <w:t xml:space="preserve">26% </w:t>
      </w:r>
      <w:r w:rsidR="00347C2B" w:rsidRPr="00D00EA6">
        <w:rPr>
          <w:rFonts w:cstheme="minorHAnsi"/>
          <w:b/>
          <w:color w:val="243587"/>
          <w:sz w:val="28"/>
          <w:szCs w:val="28"/>
          <w:lang w:val="el-GR"/>
        </w:rPr>
        <w:t xml:space="preserve"> </w:t>
      </w:r>
    </w:p>
    <w:p w14:paraId="7F38800C" w14:textId="77777777" w:rsidR="003E64D4" w:rsidRPr="003E64D4" w:rsidRDefault="003E64D4" w:rsidP="009812F0">
      <w:pPr>
        <w:pStyle w:val="ListParagraph"/>
        <w:ind w:right="5"/>
        <w:jc w:val="both"/>
        <w:rPr>
          <w:rFonts w:cstheme="minorHAnsi"/>
          <w:b/>
          <w:color w:val="243587"/>
          <w:sz w:val="22"/>
          <w:szCs w:val="22"/>
          <w:lang w:val="el-GR"/>
        </w:rPr>
      </w:pPr>
    </w:p>
    <w:p w14:paraId="025A0379" w14:textId="441A93DD" w:rsidR="009C2B2E" w:rsidRDefault="00111BEB" w:rsidP="009812F0">
      <w:pPr>
        <w:tabs>
          <w:tab w:val="left" w:pos="9498"/>
        </w:tabs>
        <w:spacing w:after="240"/>
        <w:ind w:right="-8"/>
        <w:jc w:val="both"/>
        <w:rPr>
          <w:rFonts w:cstheme="minorHAnsi"/>
          <w:color w:val="243587"/>
          <w:sz w:val="22"/>
          <w:szCs w:val="22"/>
          <w:lang w:val="el-GR"/>
        </w:rPr>
      </w:pPr>
      <w:r w:rsidRPr="009812F0">
        <w:rPr>
          <w:rFonts w:cstheme="minorHAnsi"/>
          <w:color w:val="243587"/>
          <w:sz w:val="22"/>
          <w:szCs w:val="22"/>
          <w:lang w:val="el-GR"/>
        </w:rPr>
        <w:t>Αθήνα,</w:t>
      </w:r>
      <w:r w:rsidR="00410A64">
        <w:rPr>
          <w:rFonts w:cstheme="minorHAnsi"/>
          <w:color w:val="243587"/>
          <w:sz w:val="22"/>
          <w:szCs w:val="22"/>
          <w:lang w:val="el-GR"/>
        </w:rPr>
        <w:t xml:space="preserve"> 11</w:t>
      </w:r>
      <w:r w:rsidR="009C2B2E" w:rsidRPr="00052D0D">
        <w:rPr>
          <w:rFonts w:cstheme="minorHAnsi"/>
          <w:color w:val="243587"/>
          <w:sz w:val="22"/>
          <w:szCs w:val="22"/>
          <w:lang w:val="el-GR"/>
        </w:rPr>
        <w:t xml:space="preserve"> </w:t>
      </w:r>
      <w:r w:rsidR="00512DD6" w:rsidRPr="00052D0D">
        <w:rPr>
          <w:rFonts w:cstheme="minorHAnsi"/>
          <w:color w:val="243587"/>
          <w:sz w:val="22"/>
          <w:szCs w:val="22"/>
          <w:lang w:val="el-GR"/>
        </w:rPr>
        <w:t>Ι</w:t>
      </w:r>
      <w:r w:rsidR="00B210C7">
        <w:rPr>
          <w:rFonts w:cstheme="minorHAnsi"/>
          <w:color w:val="243587"/>
          <w:sz w:val="22"/>
          <w:szCs w:val="22"/>
          <w:lang w:val="el-GR"/>
        </w:rPr>
        <w:t>ανουαρίου</w:t>
      </w:r>
      <w:r w:rsidR="009C2B2E" w:rsidRPr="009812F0">
        <w:rPr>
          <w:rFonts w:cstheme="minorHAnsi"/>
          <w:color w:val="243587"/>
          <w:sz w:val="22"/>
          <w:szCs w:val="22"/>
          <w:lang w:val="el-GR"/>
        </w:rPr>
        <w:t xml:space="preserve"> 202</w:t>
      </w:r>
      <w:r w:rsidR="00B210C7">
        <w:rPr>
          <w:rFonts w:cstheme="minorHAnsi"/>
          <w:color w:val="243587"/>
          <w:sz w:val="22"/>
          <w:szCs w:val="22"/>
          <w:lang w:val="el-GR"/>
        </w:rPr>
        <w:t>4</w:t>
      </w:r>
      <w:r w:rsidRPr="009812F0">
        <w:rPr>
          <w:rFonts w:cstheme="minorHAnsi"/>
          <w:color w:val="243587"/>
          <w:sz w:val="22"/>
          <w:szCs w:val="22"/>
          <w:lang w:val="el-GR"/>
        </w:rPr>
        <w:t xml:space="preserve"> </w:t>
      </w:r>
    </w:p>
    <w:p w14:paraId="59EC2152" w14:textId="1D6D1AD2" w:rsidR="00CD3FC4" w:rsidRDefault="003202D5" w:rsidP="009812F0">
      <w:pPr>
        <w:tabs>
          <w:tab w:val="left" w:pos="9498"/>
        </w:tabs>
        <w:spacing w:after="240"/>
        <w:ind w:right="-8"/>
        <w:jc w:val="both"/>
        <w:rPr>
          <w:rFonts w:cstheme="minorHAnsi"/>
          <w:color w:val="243587"/>
          <w:sz w:val="22"/>
          <w:szCs w:val="22"/>
          <w:lang w:val="el-GR"/>
        </w:rPr>
      </w:pPr>
      <w:r>
        <w:rPr>
          <w:rFonts w:cstheme="minorHAnsi"/>
          <w:color w:val="243587"/>
          <w:sz w:val="22"/>
          <w:szCs w:val="22"/>
          <w:lang w:val="el-GR"/>
        </w:rPr>
        <w:t>Μια ακόμη</w:t>
      </w:r>
      <w:r w:rsidRPr="003202D5">
        <w:rPr>
          <w:rFonts w:cstheme="minorHAnsi"/>
          <w:color w:val="243587"/>
          <w:sz w:val="22"/>
          <w:szCs w:val="22"/>
          <w:lang w:val="el-GR"/>
        </w:rPr>
        <w:t xml:space="preserve"> </w:t>
      </w:r>
      <w:r>
        <w:rPr>
          <w:rFonts w:cstheme="minorHAnsi"/>
          <w:color w:val="243587"/>
          <w:sz w:val="22"/>
          <w:szCs w:val="22"/>
          <w:lang w:val="el-GR"/>
        </w:rPr>
        <w:t xml:space="preserve">επιτυχημένη χρονιά δυναμικής ανάπτυξης ολοκληρώθηκε για την </w:t>
      </w:r>
      <w:r w:rsidRPr="003202D5">
        <w:rPr>
          <w:rFonts w:cstheme="minorHAnsi"/>
          <w:color w:val="243587"/>
          <w:sz w:val="22"/>
          <w:szCs w:val="22"/>
          <w:lang w:val="el-GR"/>
        </w:rPr>
        <w:t>AEGEAN</w:t>
      </w:r>
      <w:r w:rsidR="00817053">
        <w:rPr>
          <w:rFonts w:cstheme="minorHAnsi"/>
          <w:color w:val="243587"/>
          <w:sz w:val="22"/>
          <w:szCs w:val="22"/>
          <w:lang w:val="el-GR"/>
        </w:rPr>
        <w:t>,</w:t>
      </w:r>
      <w:r w:rsidRPr="003202D5">
        <w:rPr>
          <w:rFonts w:cstheme="minorHAnsi"/>
          <w:color w:val="243587"/>
          <w:sz w:val="22"/>
          <w:szCs w:val="22"/>
          <w:lang w:val="el-GR"/>
        </w:rPr>
        <w:t xml:space="preserve"> </w:t>
      </w:r>
      <w:r>
        <w:rPr>
          <w:rFonts w:cstheme="minorHAnsi"/>
          <w:color w:val="243587"/>
          <w:sz w:val="22"/>
          <w:szCs w:val="22"/>
          <w:lang w:val="el-GR"/>
        </w:rPr>
        <w:t xml:space="preserve">η οποία </w:t>
      </w:r>
      <w:r w:rsidRPr="003202D5">
        <w:rPr>
          <w:rFonts w:cstheme="minorHAnsi"/>
          <w:color w:val="243587"/>
          <w:sz w:val="22"/>
          <w:szCs w:val="22"/>
          <w:lang w:val="el-GR"/>
        </w:rPr>
        <w:t>προσέφερε 18,</w:t>
      </w:r>
      <w:r w:rsidR="003F28D5">
        <w:rPr>
          <w:rFonts w:cstheme="minorHAnsi"/>
          <w:color w:val="243587"/>
          <w:sz w:val="22"/>
          <w:szCs w:val="22"/>
          <w:lang w:val="el-GR"/>
        </w:rPr>
        <w:t>5</w:t>
      </w:r>
      <w:r w:rsidRPr="003202D5">
        <w:rPr>
          <w:rFonts w:cstheme="minorHAnsi"/>
          <w:color w:val="243587"/>
          <w:sz w:val="22"/>
          <w:szCs w:val="22"/>
          <w:lang w:val="el-GR"/>
        </w:rPr>
        <w:t xml:space="preserve"> εκατομμύρια θέσεις το 2023, </w:t>
      </w:r>
      <w:r w:rsidR="00D00EA6" w:rsidRPr="00D00EA6">
        <w:rPr>
          <w:rFonts w:cstheme="minorHAnsi"/>
          <w:color w:val="243587"/>
          <w:sz w:val="22"/>
          <w:szCs w:val="22"/>
          <w:lang w:val="el-GR"/>
        </w:rPr>
        <w:t xml:space="preserve">αυξημένες </w:t>
      </w:r>
      <w:r w:rsidRPr="00D00EA6">
        <w:rPr>
          <w:rFonts w:cstheme="minorHAnsi"/>
          <w:color w:val="243587"/>
          <w:sz w:val="22"/>
          <w:szCs w:val="22"/>
          <w:lang w:val="el-GR"/>
        </w:rPr>
        <w:t>κατά 3,1 εκατ.</w:t>
      </w:r>
      <w:r w:rsidR="00A031A9">
        <w:rPr>
          <w:rFonts w:cstheme="minorHAnsi"/>
          <w:color w:val="243587"/>
          <w:sz w:val="22"/>
          <w:szCs w:val="22"/>
          <w:lang w:val="el-GR"/>
        </w:rPr>
        <w:t xml:space="preserve"> </w:t>
      </w:r>
      <w:r w:rsidR="00817053">
        <w:rPr>
          <w:rFonts w:cstheme="minorHAnsi"/>
          <w:color w:val="243587"/>
          <w:sz w:val="22"/>
          <w:szCs w:val="22"/>
          <w:lang w:val="el-GR"/>
        </w:rPr>
        <w:t xml:space="preserve">συγκριτικά με το </w:t>
      </w:r>
      <w:r w:rsidR="00A031A9">
        <w:rPr>
          <w:rFonts w:cstheme="minorHAnsi"/>
          <w:color w:val="243587"/>
          <w:sz w:val="22"/>
          <w:szCs w:val="22"/>
          <w:lang w:val="el-GR"/>
        </w:rPr>
        <w:t>2022</w:t>
      </w:r>
      <w:r w:rsidR="0057233C" w:rsidRPr="009B7495">
        <w:rPr>
          <w:rFonts w:cstheme="minorHAnsi"/>
          <w:color w:val="243587"/>
          <w:sz w:val="22"/>
          <w:szCs w:val="22"/>
          <w:lang w:val="el-GR"/>
        </w:rPr>
        <w:t xml:space="preserve">, </w:t>
      </w:r>
      <w:r w:rsidR="0057233C">
        <w:rPr>
          <w:rFonts w:cstheme="minorHAnsi"/>
          <w:color w:val="243587"/>
          <w:sz w:val="22"/>
          <w:szCs w:val="22"/>
          <w:lang w:val="el-GR"/>
        </w:rPr>
        <w:t>ενώ</w:t>
      </w:r>
      <w:r w:rsidR="0057233C" w:rsidRPr="003202D5">
        <w:rPr>
          <w:rFonts w:cstheme="minorHAnsi"/>
          <w:color w:val="243587"/>
          <w:sz w:val="22"/>
          <w:szCs w:val="22"/>
          <w:lang w:val="el-GR"/>
        </w:rPr>
        <w:t xml:space="preserve"> μετέφερε</w:t>
      </w:r>
      <w:r w:rsidRPr="003202D5">
        <w:rPr>
          <w:rFonts w:cstheme="minorHAnsi"/>
          <w:color w:val="243587"/>
          <w:sz w:val="22"/>
          <w:szCs w:val="22"/>
          <w:lang w:val="el-GR"/>
        </w:rPr>
        <w:t xml:space="preserve"> 15,5 εκ</w:t>
      </w:r>
      <w:r w:rsidR="0057233C">
        <w:rPr>
          <w:rFonts w:cstheme="minorHAnsi"/>
          <w:color w:val="243587"/>
          <w:sz w:val="22"/>
          <w:szCs w:val="22"/>
          <w:lang w:val="el-GR"/>
        </w:rPr>
        <w:t>ατ.</w:t>
      </w:r>
      <w:r w:rsidR="00A031A9">
        <w:rPr>
          <w:rFonts w:cstheme="minorHAnsi"/>
          <w:color w:val="243587"/>
          <w:sz w:val="22"/>
          <w:szCs w:val="22"/>
          <w:lang w:val="el-GR"/>
        </w:rPr>
        <w:t xml:space="preserve"> </w:t>
      </w:r>
      <w:r w:rsidR="0057233C">
        <w:rPr>
          <w:rFonts w:cstheme="minorHAnsi"/>
          <w:color w:val="243587"/>
          <w:sz w:val="22"/>
          <w:szCs w:val="22"/>
          <w:lang w:val="el-GR"/>
        </w:rPr>
        <w:t>επιβάτες,</w:t>
      </w:r>
      <w:r w:rsidR="00A031A9">
        <w:rPr>
          <w:rFonts w:cstheme="minorHAnsi"/>
          <w:color w:val="243587"/>
          <w:sz w:val="22"/>
          <w:szCs w:val="22"/>
          <w:lang w:val="el-GR"/>
        </w:rPr>
        <w:t xml:space="preserve"> </w:t>
      </w:r>
      <w:r w:rsidR="009E045A">
        <w:rPr>
          <w:rFonts w:cstheme="minorHAnsi"/>
          <w:color w:val="243587"/>
          <w:sz w:val="22"/>
          <w:szCs w:val="22"/>
          <w:lang w:val="el-GR"/>
        </w:rPr>
        <w:t xml:space="preserve"> </w:t>
      </w:r>
      <w:r w:rsidR="0057233C">
        <w:rPr>
          <w:rFonts w:cstheme="minorHAnsi"/>
          <w:color w:val="243587"/>
          <w:sz w:val="22"/>
          <w:szCs w:val="22"/>
          <w:lang w:val="el-GR"/>
        </w:rPr>
        <w:t>αυξημένο</w:t>
      </w:r>
      <w:r w:rsidR="00817053">
        <w:rPr>
          <w:rFonts w:cstheme="minorHAnsi"/>
          <w:color w:val="243587"/>
          <w:sz w:val="22"/>
          <w:szCs w:val="22"/>
          <w:lang w:val="el-GR"/>
        </w:rPr>
        <w:t>ι</w:t>
      </w:r>
      <w:r w:rsidR="0057233C">
        <w:rPr>
          <w:rFonts w:cstheme="minorHAnsi"/>
          <w:color w:val="243587"/>
          <w:sz w:val="22"/>
          <w:szCs w:val="22"/>
          <w:lang w:val="el-GR"/>
        </w:rPr>
        <w:t xml:space="preserve"> κατά </w:t>
      </w:r>
      <w:r w:rsidR="00A031A9">
        <w:rPr>
          <w:rFonts w:cstheme="minorHAnsi"/>
          <w:color w:val="243587"/>
          <w:sz w:val="22"/>
          <w:szCs w:val="22"/>
          <w:lang w:val="el-GR"/>
        </w:rPr>
        <w:t>3</w:t>
      </w:r>
      <w:r w:rsidR="0043553A">
        <w:rPr>
          <w:rFonts w:cstheme="minorHAnsi"/>
          <w:color w:val="243587"/>
          <w:sz w:val="22"/>
          <w:szCs w:val="22"/>
          <w:lang w:val="el-GR"/>
        </w:rPr>
        <w:t>,</w:t>
      </w:r>
      <w:r w:rsidR="00A031A9">
        <w:rPr>
          <w:rFonts w:cstheme="minorHAnsi"/>
          <w:color w:val="243587"/>
          <w:sz w:val="22"/>
          <w:szCs w:val="22"/>
          <w:lang w:val="el-GR"/>
        </w:rPr>
        <w:t>2 εκ</w:t>
      </w:r>
      <w:r w:rsidR="0057233C">
        <w:rPr>
          <w:rFonts w:cstheme="minorHAnsi"/>
          <w:color w:val="243587"/>
          <w:sz w:val="22"/>
          <w:szCs w:val="22"/>
          <w:lang w:val="el-GR"/>
        </w:rPr>
        <w:t>ατ.,</w:t>
      </w:r>
      <w:r w:rsidR="00A031A9">
        <w:rPr>
          <w:rFonts w:cstheme="minorHAnsi"/>
          <w:color w:val="243587"/>
          <w:sz w:val="22"/>
          <w:szCs w:val="22"/>
          <w:lang w:val="el-GR"/>
        </w:rPr>
        <w:t xml:space="preserve"> </w:t>
      </w:r>
      <w:r w:rsidR="00D52242">
        <w:rPr>
          <w:rFonts w:cstheme="minorHAnsi"/>
          <w:color w:val="243587"/>
          <w:sz w:val="22"/>
          <w:szCs w:val="22"/>
          <w:lang w:val="el-GR"/>
        </w:rPr>
        <w:t>επιτυγχάνοντας</w:t>
      </w:r>
      <w:r w:rsidR="00BD4861">
        <w:rPr>
          <w:rFonts w:cstheme="minorHAnsi"/>
          <w:color w:val="243587"/>
          <w:sz w:val="22"/>
          <w:szCs w:val="22"/>
          <w:lang w:val="el-GR"/>
        </w:rPr>
        <w:t xml:space="preserve"> </w:t>
      </w:r>
      <w:r w:rsidR="009E045A">
        <w:rPr>
          <w:rFonts w:cstheme="minorHAnsi"/>
          <w:color w:val="243587"/>
          <w:sz w:val="22"/>
          <w:szCs w:val="22"/>
          <w:lang w:val="el-GR"/>
        </w:rPr>
        <w:t>αύξηση</w:t>
      </w:r>
      <w:r w:rsidR="0057233C">
        <w:rPr>
          <w:rFonts w:cstheme="minorHAnsi"/>
          <w:color w:val="243587"/>
          <w:sz w:val="22"/>
          <w:szCs w:val="22"/>
          <w:lang w:val="el-GR"/>
        </w:rPr>
        <w:t xml:space="preserve"> της τάξ</w:t>
      </w:r>
      <w:r w:rsidR="00817053">
        <w:rPr>
          <w:rFonts w:cstheme="minorHAnsi"/>
          <w:color w:val="243587"/>
          <w:sz w:val="22"/>
          <w:szCs w:val="22"/>
          <w:lang w:val="el-GR"/>
        </w:rPr>
        <w:t>εως</w:t>
      </w:r>
      <w:r w:rsidR="0057233C">
        <w:rPr>
          <w:rFonts w:cstheme="minorHAnsi"/>
          <w:color w:val="243587"/>
          <w:sz w:val="22"/>
          <w:szCs w:val="22"/>
          <w:lang w:val="el-GR"/>
        </w:rPr>
        <w:t xml:space="preserve"> του 26% </w:t>
      </w:r>
      <w:r w:rsidR="00817053">
        <w:rPr>
          <w:rFonts w:cstheme="minorHAnsi"/>
          <w:color w:val="243587"/>
          <w:sz w:val="22"/>
          <w:szCs w:val="22"/>
          <w:lang w:val="el-GR"/>
        </w:rPr>
        <w:t xml:space="preserve">σε σύγκριση </w:t>
      </w:r>
      <w:r w:rsidR="0057233C">
        <w:rPr>
          <w:rFonts w:cstheme="minorHAnsi"/>
          <w:color w:val="243587"/>
          <w:sz w:val="22"/>
          <w:szCs w:val="22"/>
          <w:lang w:val="el-GR"/>
        </w:rPr>
        <w:t xml:space="preserve">με </w:t>
      </w:r>
      <w:r w:rsidR="00A031A9">
        <w:rPr>
          <w:rFonts w:cstheme="minorHAnsi"/>
          <w:color w:val="243587"/>
          <w:sz w:val="22"/>
          <w:szCs w:val="22"/>
          <w:lang w:val="el-GR"/>
        </w:rPr>
        <w:t xml:space="preserve">το </w:t>
      </w:r>
      <w:r w:rsidR="00A420E6">
        <w:rPr>
          <w:rFonts w:cstheme="minorHAnsi"/>
          <w:color w:val="243587"/>
          <w:sz w:val="22"/>
          <w:szCs w:val="22"/>
          <w:lang w:val="el-GR"/>
        </w:rPr>
        <w:t>προηγούμενο έτος</w:t>
      </w:r>
      <w:r w:rsidR="0057233C">
        <w:rPr>
          <w:rFonts w:cstheme="minorHAnsi"/>
          <w:color w:val="243587"/>
          <w:sz w:val="22"/>
          <w:szCs w:val="22"/>
          <w:lang w:val="el-GR"/>
        </w:rPr>
        <w:t xml:space="preserve">, </w:t>
      </w:r>
      <w:r w:rsidR="00CD3FC4">
        <w:rPr>
          <w:rFonts w:cstheme="minorHAnsi"/>
          <w:color w:val="243587"/>
          <w:sz w:val="22"/>
          <w:szCs w:val="22"/>
          <w:lang w:val="el-GR"/>
        </w:rPr>
        <w:t xml:space="preserve">&amp; </w:t>
      </w:r>
      <w:r w:rsidR="0057233C">
        <w:rPr>
          <w:rFonts w:cstheme="minorHAnsi"/>
          <w:color w:val="243587"/>
          <w:sz w:val="22"/>
          <w:szCs w:val="22"/>
          <w:lang w:val="el-GR"/>
        </w:rPr>
        <w:t>καταγράφοντας</w:t>
      </w:r>
      <w:r w:rsidR="00A031A9">
        <w:rPr>
          <w:rFonts w:cstheme="minorHAnsi"/>
          <w:color w:val="243587"/>
          <w:sz w:val="22"/>
          <w:szCs w:val="22"/>
          <w:lang w:val="el-GR"/>
        </w:rPr>
        <w:t xml:space="preserve"> νέο </w:t>
      </w:r>
      <w:r w:rsidR="0057233C">
        <w:rPr>
          <w:rFonts w:cstheme="minorHAnsi"/>
          <w:color w:val="243587"/>
          <w:sz w:val="22"/>
          <w:szCs w:val="22"/>
          <w:lang w:val="el-GR"/>
        </w:rPr>
        <w:t>ιστορικό</w:t>
      </w:r>
      <w:r w:rsidR="00A031A9">
        <w:rPr>
          <w:rFonts w:cstheme="minorHAnsi"/>
          <w:color w:val="243587"/>
          <w:sz w:val="22"/>
          <w:szCs w:val="22"/>
          <w:lang w:val="el-GR"/>
        </w:rPr>
        <w:t xml:space="preserve"> </w:t>
      </w:r>
      <w:r w:rsidR="0057233C">
        <w:rPr>
          <w:rFonts w:cstheme="minorHAnsi"/>
          <w:color w:val="243587"/>
          <w:sz w:val="22"/>
          <w:szCs w:val="22"/>
          <w:lang w:val="el-GR"/>
        </w:rPr>
        <w:t>υψηλό</w:t>
      </w:r>
      <w:r w:rsidR="00A031A9">
        <w:rPr>
          <w:rFonts w:cstheme="minorHAnsi"/>
          <w:color w:val="243587"/>
          <w:sz w:val="22"/>
          <w:szCs w:val="22"/>
          <w:lang w:val="el-GR"/>
        </w:rPr>
        <w:t xml:space="preserve">. </w:t>
      </w:r>
    </w:p>
    <w:p w14:paraId="46FC3A67" w14:textId="4F24C105" w:rsidR="00D352B4" w:rsidRPr="00D3423F" w:rsidRDefault="00BD4861" w:rsidP="009812F0">
      <w:pPr>
        <w:tabs>
          <w:tab w:val="left" w:pos="9498"/>
        </w:tabs>
        <w:spacing w:after="240"/>
        <w:ind w:right="-8"/>
        <w:jc w:val="both"/>
        <w:rPr>
          <w:rFonts w:cstheme="minorHAnsi"/>
          <w:color w:val="243587"/>
          <w:sz w:val="22"/>
          <w:szCs w:val="22"/>
          <w:lang w:val="el-GR"/>
        </w:rPr>
      </w:pPr>
      <w:r>
        <w:rPr>
          <w:rFonts w:cstheme="minorHAnsi"/>
          <w:color w:val="243587"/>
          <w:sz w:val="22"/>
          <w:szCs w:val="22"/>
          <w:lang w:val="el-GR"/>
        </w:rPr>
        <w:t>Ειδικότερα</w:t>
      </w:r>
      <w:r w:rsidR="00B02FE9">
        <w:rPr>
          <w:rFonts w:cstheme="minorHAnsi"/>
          <w:color w:val="243587"/>
          <w:sz w:val="22"/>
          <w:szCs w:val="22"/>
          <w:lang w:val="el-GR"/>
        </w:rPr>
        <w:t>,</w:t>
      </w:r>
      <w:r>
        <w:rPr>
          <w:rFonts w:cstheme="minorHAnsi"/>
          <w:color w:val="243587"/>
          <w:sz w:val="22"/>
          <w:szCs w:val="22"/>
          <w:lang w:val="el-GR"/>
        </w:rPr>
        <w:t xml:space="preserve"> στο δίκτυο εξωτερικού </w:t>
      </w:r>
      <w:r w:rsidR="00B02FE9">
        <w:rPr>
          <w:rFonts w:cstheme="minorHAnsi"/>
          <w:color w:val="243587"/>
          <w:sz w:val="22"/>
          <w:szCs w:val="22"/>
          <w:lang w:val="el-GR"/>
        </w:rPr>
        <w:t xml:space="preserve">η </w:t>
      </w:r>
      <w:r w:rsidR="00B02FE9">
        <w:rPr>
          <w:rFonts w:cstheme="minorHAnsi"/>
          <w:color w:val="243587"/>
          <w:sz w:val="22"/>
          <w:szCs w:val="22"/>
          <w:lang w:val="en-US"/>
        </w:rPr>
        <w:t>AEGEAN</w:t>
      </w:r>
      <w:r w:rsidR="00B02FE9" w:rsidRPr="00B02FE9">
        <w:rPr>
          <w:rFonts w:cstheme="minorHAnsi"/>
          <w:color w:val="243587"/>
          <w:sz w:val="22"/>
          <w:szCs w:val="22"/>
          <w:lang w:val="el-GR"/>
        </w:rPr>
        <w:t xml:space="preserve"> </w:t>
      </w:r>
      <w:r>
        <w:rPr>
          <w:rFonts w:cstheme="minorHAnsi"/>
          <w:color w:val="243587"/>
          <w:sz w:val="22"/>
          <w:szCs w:val="22"/>
          <w:lang w:val="el-GR"/>
        </w:rPr>
        <w:t>προσέφερε</w:t>
      </w:r>
      <w:r w:rsidR="003F28D5">
        <w:rPr>
          <w:rFonts w:cstheme="minorHAnsi"/>
          <w:color w:val="243587"/>
          <w:sz w:val="22"/>
          <w:szCs w:val="22"/>
          <w:lang w:val="el-GR"/>
        </w:rPr>
        <w:t xml:space="preserve"> </w:t>
      </w:r>
      <w:r w:rsidR="005C4E9A">
        <w:rPr>
          <w:rFonts w:cstheme="minorHAnsi"/>
          <w:color w:val="243587"/>
          <w:sz w:val="22"/>
          <w:szCs w:val="22"/>
          <w:lang w:val="el-GR"/>
        </w:rPr>
        <w:t>11</w:t>
      </w:r>
      <w:r w:rsidR="003F28D5">
        <w:rPr>
          <w:rFonts w:cstheme="minorHAnsi"/>
          <w:color w:val="243587"/>
          <w:sz w:val="22"/>
          <w:szCs w:val="22"/>
          <w:lang w:val="el-GR"/>
        </w:rPr>
        <w:t>,</w:t>
      </w:r>
      <w:r w:rsidR="005C4E9A">
        <w:rPr>
          <w:rFonts w:cstheme="minorHAnsi"/>
          <w:color w:val="243587"/>
          <w:sz w:val="22"/>
          <w:szCs w:val="22"/>
          <w:lang w:val="el-GR"/>
        </w:rPr>
        <w:t>1</w:t>
      </w:r>
      <w:r w:rsidR="003F28D5">
        <w:rPr>
          <w:rFonts w:cstheme="minorHAnsi"/>
          <w:color w:val="243587"/>
          <w:sz w:val="22"/>
          <w:szCs w:val="22"/>
          <w:lang w:val="el-GR"/>
        </w:rPr>
        <w:t xml:space="preserve"> </w:t>
      </w:r>
      <w:r w:rsidRPr="003F28D5">
        <w:rPr>
          <w:rFonts w:cstheme="minorHAnsi"/>
          <w:color w:val="243587"/>
          <w:sz w:val="22"/>
          <w:szCs w:val="22"/>
          <w:lang w:val="el-GR"/>
        </w:rPr>
        <w:t>εκατομμύρια</w:t>
      </w:r>
      <w:r>
        <w:rPr>
          <w:rFonts w:cstheme="minorHAnsi"/>
          <w:color w:val="243587"/>
          <w:sz w:val="22"/>
          <w:szCs w:val="22"/>
          <w:lang w:val="el-GR"/>
        </w:rPr>
        <w:t xml:space="preserve"> θέσεις</w:t>
      </w:r>
      <w:r w:rsidR="00A031A9">
        <w:rPr>
          <w:rFonts w:cstheme="minorHAnsi"/>
          <w:color w:val="243587"/>
          <w:sz w:val="22"/>
          <w:szCs w:val="22"/>
          <w:lang w:val="el-GR"/>
        </w:rPr>
        <w:t xml:space="preserve">, </w:t>
      </w:r>
      <w:r w:rsidR="006A659D">
        <w:rPr>
          <w:rFonts w:cstheme="minorHAnsi"/>
          <w:color w:val="243587"/>
          <w:sz w:val="22"/>
          <w:szCs w:val="22"/>
          <w:lang w:val="el-GR"/>
        </w:rPr>
        <w:t xml:space="preserve">περισσότερες κατά </w:t>
      </w:r>
      <w:r w:rsidR="00A031A9">
        <w:rPr>
          <w:rFonts w:cstheme="minorHAnsi"/>
          <w:color w:val="243587"/>
          <w:sz w:val="22"/>
          <w:szCs w:val="22"/>
          <w:lang w:val="el-GR"/>
        </w:rPr>
        <w:t>2</w:t>
      </w:r>
      <w:r w:rsidR="00D3423F" w:rsidRPr="009B7495">
        <w:rPr>
          <w:rFonts w:cstheme="minorHAnsi"/>
          <w:color w:val="243587"/>
          <w:sz w:val="22"/>
          <w:szCs w:val="22"/>
          <w:lang w:val="el-GR"/>
        </w:rPr>
        <w:t>,2</w:t>
      </w:r>
      <w:r w:rsidR="00A031A9">
        <w:rPr>
          <w:rFonts w:cstheme="minorHAnsi"/>
          <w:color w:val="243587"/>
          <w:sz w:val="22"/>
          <w:szCs w:val="22"/>
          <w:lang w:val="el-GR"/>
        </w:rPr>
        <w:t xml:space="preserve"> εκ</w:t>
      </w:r>
      <w:r w:rsidR="006A659D">
        <w:rPr>
          <w:rFonts w:cstheme="minorHAnsi"/>
          <w:color w:val="243587"/>
          <w:sz w:val="22"/>
          <w:szCs w:val="22"/>
          <w:lang w:val="el-GR"/>
        </w:rPr>
        <w:t>ατ.</w:t>
      </w:r>
      <w:r w:rsidR="00A031A9">
        <w:rPr>
          <w:rFonts w:cstheme="minorHAnsi"/>
          <w:color w:val="243587"/>
          <w:sz w:val="22"/>
          <w:szCs w:val="22"/>
          <w:lang w:val="el-GR"/>
        </w:rPr>
        <w:t xml:space="preserve"> </w:t>
      </w:r>
      <w:r w:rsidR="006A659D">
        <w:rPr>
          <w:rFonts w:cstheme="minorHAnsi"/>
          <w:color w:val="243587"/>
          <w:sz w:val="22"/>
          <w:szCs w:val="22"/>
          <w:lang w:val="el-GR"/>
        </w:rPr>
        <w:t>σε σχέση με</w:t>
      </w:r>
      <w:r w:rsidR="00A031A9">
        <w:rPr>
          <w:rFonts w:cstheme="minorHAnsi"/>
          <w:color w:val="243587"/>
          <w:sz w:val="22"/>
          <w:szCs w:val="22"/>
          <w:lang w:val="el-GR"/>
        </w:rPr>
        <w:t xml:space="preserve"> το </w:t>
      </w:r>
      <w:r w:rsidR="006A659D">
        <w:rPr>
          <w:rFonts w:cstheme="minorHAnsi"/>
          <w:color w:val="243587"/>
          <w:sz w:val="22"/>
          <w:szCs w:val="22"/>
          <w:lang w:val="el-GR"/>
        </w:rPr>
        <w:t>20</w:t>
      </w:r>
      <w:r w:rsidR="00A031A9">
        <w:rPr>
          <w:rFonts w:cstheme="minorHAnsi"/>
          <w:color w:val="243587"/>
          <w:sz w:val="22"/>
          <w:szCs w:val="22"/>
          <w:lang w:val="el-GR"/>
        </w:rPr>
        <w:t>22</w:t>
      </w:r>
      <w:r w:rsidR="006A659D">
        <w:rPr>
          <w:rFonts w:cstheme="minorHAnsi"/>
          <w:color w:val="243587"/>
          <w:sz w:val="22"/>
          <w:szCs w:val="22"/>
          <w:lang w:val="el-GR"/>
        </w:rPr>
        <w:t>. Αντίστοιχα</w:t>
      </w:r>
      <w:r w:rsidR="00E308AE">
        <w:rPr>
          <w:rFonts w:cstheme="minorHAnsi"/>
          <w:color w:val="243587"/>
          <w:sz w:val="22"/>
          <w:szCs w:val="22"/>
          <w:lang w:val="el-GR"/>
        </w:rPr>
        <w:t>,</w:t>
      </w:r>
      <w:r w:rsidR="006A659D">
        <w:rPr>
          <w:rFonts w:cstheme="minorHAnsi"/>
          <w:color w:val="243587"/>
          <w:sz w:val="22"/>
          <w:szCs w:val="22"/>
          <w:lang w:val="el-GR"/>
        </w:rPr>
        <w:t xml:space="preserve"> η εταιρία μετέφερε</w:t>
      </w:r>
      <w:r w:rsidR="00A031A9">
        <w:rPr>
          <w:rFonts w:cstheme="minorHAnsi"/>
          <w:color w:val="243587"/>
          <w:sz w:val="22"/>
          <w:szCs w:val="22"/>
          <w:lang w:val="el-GR"/>
        </w:rPr>
        <w:t xml:space="preserve"> </w:t>
      </w:r>
      <w:r w:rsidR="006D1A15">
        <w:rPr>
          <w:rFonts w:cstheme="minorHAnsi"/>
          <w:color w:val="243587"/>
          <w:sz w:val="22"/>
          <w:szCs w:val="22"/>
          <w:lang w:val="el-GR"/>
        </w:rPr>
        <w:t>9</w:t>
      </w:r>
      <w:r w:rsidR="0043553A">
        <w:rPr>
          <w:rFonts w:cstheme="minorHAnsi"/>
          <w:color w:val="243587"/>
          <w:sz w:val="22"/>
          <w:szCs w:val="22"/>
          <w:lang w:val="el-GR"/>
        </w:rPr>
        <w:t>,</w:t>
      </w:r>
      <w:r w:rsidR="006D1A15">
        <w:rPr>
          <w:rFonts w:cstheme="minorHAnsi"/>
          <w:color w:val="243587"/>
          <w:sz w:val="22"/>
          <w:szCs w:val="22"/>
          <w:lang w:val="el-GR"/>
        </w:rPr>
        <w:t>2</w:t>
      </w:r>
      <w:r w:rsidR="006A659D">
        <w:rPr>
          <w:rFonts w:cstheme="minorHAnsi"/>
          <w:color w:val="243587"/>
          <w:sz w:val="22"/>
          <w:szCs w:val="22"/>
          <w:lang w:val="el-GR"/>
        </w:rPr>
        <w:t xml:space="preserve"> εκατ.</w:t>
      </w:r>
      <w:r w:rsidR="0043553A">
        <w:rPr>
          <w:rFonts w:cstheme="minorHAnsi"/>
          <w:color w:val="243587"/>
          <w:sz w:val="22"/>
          <w:szCs w:val="22"/>
          <w:lang w:val="el-GR"/>
        </w:rPr>
        <w:t xml:space="preserve"> επιβάτες</w:t>
      </w:r>
      <w:r w:rsidR="006A659D">
        <w:rPr>
          <w:rFonts w:cstheme="minorHAnsi"/>
          <w:color w:val="243587"/>
          <w:sz w:val="22"/>
          <w:szCs w:val="22"/>
          <w:lang w:val="el-GR"/>
        </w:rPr>
        <w:t xml:space="preserve">, σημειώνοντας αύξηση </w:t>
      </w:r>
      <w:r w:rsidR="006D1A15">
        <w:rPr>
          <w:rFonts w:cstheme="minorHAnsi"/>
          <w:color w:val="243587"/>
          <w:sz w:val="22"/>
          <w:szCs w:val="22"/>
          <w:lang w:val="el-GR"/>
        </w:rPr>
        <w:t>κατά</w:t>
      </w:r>
      <w:r w:rsidR="00D3423F" w:rsidRPr="009B7495">
        <w:rPr>
          <w:rFonts w:cstheme="minorHAnsi"/>
          <w:color w:val="243587"/>
          <w:sz w:val="22"/>
          <w:szCs w:val="22"/>
          <w:lang w:val="el-GR"/>
        </w:rPr>
        <w:t xml:space="preserve"> 29%</w:t>
      </w:r>
      <w:r w:rsidR="006A659D">
        <w:rPr>
          <w:rFonts w:cstheme="minorHAnsi"/>
          <w:color w:val="243587"/>
          <w:sz w:val="22"/>
          <w:szCs w:val="22"/>
          <w:lang w:val="el-GR"/>
        </w:rPr>
        <w:t xml:space="preserve"> συγκριτικά με το 2022. </w:t>
      </w:r>
      <w:r w:rsidR="00421CF2">
        <w:rPr>
          <w:rFonts w:cstheme="minorHAnsi"/>
          <w:color w:val="243587"/>
          <w:sz w:val="22"/>
          <w:szCs w:val="22"/>
          <w:lang w:val="el-GR"/>
        </w:rPr>
        <w:t>Αυξημένη κ</w:t>
      </w:r>
      <w:r w:rsidR="00CD7021" w:rsidRPr="00CD7021">
        <w:rPr>
          <w:rFonts w:cstheme="minorHAnsi"/>
          <w:color w:val="243587"/>
          <w:sz w:val="22"/>
          <w:szCs w:val="22"/>
          <w:lang w:val="el-GR"/>
        </w:rPr>
        <w:t xml:space="preserve">ατά 22% </w:t>
      </w:r>
      <w:r w:rsidR="00421CF2">
        <w:rPr>
          <w:rFonts w:cstheme="minorHAnsi"/>
          <w:color w:val="243587"/>
          <w:sz w:val="22"/>
          <w:szCs w:val="22"/>
          <w:lang w:val="el-GR"/>
        </w:rPr>
        <w:t>εμφανίστηκε</w:t>
      </w:r>
      <w:r w:rsidR="00421CF2" w:rsidRPr="00CD7021">
        <w:rPr>
          <w:rFonts w:cstheme="minorHAnsi"/>
          <w:color w:val="243587"/>
          <w:sz w:val="22"/>
          <w:szCs w:val="22"/>
          <w:lang w:val="el-GR"/>
        </w:rPr>
        <w:t xml:space="preserve"> </w:t>
      </w:r>
      <w:r w:rsidR="00CD7021" w:rsidRPr="00CD7021">
        <w:rPr>
          <w:rFonts w:cstheme="minorHAnsi"/>
          <w:color w:val="243587"/>
          <w:sz w:val="22"/>
          <w:szCs w:val="22"/>
          <w:lang w:val="el-GR"/>
        </w:rPr>
        <w:t>και η επιβατική κίνηση εσωτερικού, αποτυπώνοντας τη θετική επίπτωση</w:t>
      </w:r>
      <w:r w:rsidR="00CD3FC4">
        <w:rPr>
          <w:rFonts w:cstheme="minorHAnsi"/>
          <w:color w:val="243587"/>
          <w:sz w:val="22"/>
          <w:szCs w:val="22"/>
          <w:lang w:val="el-GR"/>
        </w:rPr>
        <w:t xml:space="preserve"> της </w:t>
      </w:r>
      <w:r w:rsidR="0043553A">
        <w:rPr>
          <w:rFonts w:cstheme="minorHAnsi"/>
          <w:color w:val="243587"/>
          <w:sz w:val="22"/>
          <w:szCs w:val="22"/>
          <w:lang w:val="el-GR"/>
        </w:rPr>
        <w:t>αυξημένης</w:t>
      </w:r>
      <w:r w:rsidR="00CD3FC4">
        <w:rPr>
          <w:rFonts w:cstheme="minorHAnsi"/>
          <w:color w:val="243587"/>
          <w:sz w:val="22"/>
          <w:szCs w:val="22"/>
          <w:lang w:val="el-GR"/>
        </w:rPr>
        <w:t xml:space="preserve"> διασυνδεσ</w:t>
      </w:r>
      <w:r w:rsidR="0043553A">
        <w:rPr>
          <w:rFonts w:cstheme="minorHAnsi"/>
          <w:color w:val="243587"/>
          <w:sz w:val="22"/>
          <w:szCs w:val="22"/>
          <w:lang w:val="el-GR"/>
        </w:rPr>
        <w:t>ι</w:t>
      </w:r>
      <w:r w:rsidR="00CD3FC4">
        <w:rPr>
          <w:rFonts w:cstheme="minorHAnsi"/>
          <w:color w:val="243587"/>
          <w:sz w:val="22"/>
          <w:szCs w:val="22"/>
          <w:lang w:val="el-GR"/>
        </w:rPr>
        <w:t>μ</w:t>
      </w:r>
      <w:r w:rsidR="0043553A">
        <w:rPr>
          <w:rFonts w:cstheme="minorHAnsi"/>
          <w:color w:val="243587"/>
          <w:sz w:val="22"/>
          <w:szCs w:val="22"/>
          <w:lang w:val="el-GR"/>
        </w:rPr>
        <w:t>ό</w:t>
      </w:r>
      <w:r w:rsidR="00CD3FC4">
        <w:rPr>
          <w:rFonts w:cstheme="minorHAnsi"/>
          <w:color w:val="243587"/>
          <w:sz w:val="22"/>
          <w:szCs w:val="22"/>
          <w:lang w:val="el-GR"/>
        </w:rPr>
        <w:t xml:space="preserve">τητας των </w:t>
      </w:r>
      <w:r w:rsidR="0043553A">
        <w:rPr>
          <w:rFonts w:cstheme="minorHAnsi"/>
          <w:color w:val="243587"/>
          <w:sz w:val="22"/>
          <w:szCs w:val="22"/>
          <w:lang w:val="el-GR"/>
        </w:rPr>
        <w:t>νησιών</w:t>
      </w:r>
      <w:r w:rsidR="00CD3FC4">
        <w:rPr>
          <w:rFonts w:cstheme="minorHAnsi"/>
          <w:color w:val="243587"/>
          <w:sz w:val="22"/>
          <w:szCs w:val="22"/>
          <w:lang w:val="el-GR"/>
        </w:rPr>
        <w:t xml:space="preserve"> μ</w:t>
      </w:r>
      <w:r w:rsidR="0043553A">
        <w:rPr>
          <w:rFonts w:cstheme="minorHAnsi"/>
          <w:color w:val="243587"/>
          <w:sz w:val="22"/>
          <w:szCs w:val="22"/>
          <w:lang w:val="el-GR"/>
        </w:rPr>
        <w:t>έ</w:t>
      </w:r>
      <w:r w:rsidR="00CD3FC4">
        <w:rPr>
          <w:rFonts w:cstheme="minorHAnsi"/>
          <w:color w:val="243587"/>
          <w:sz w:val="22"/>
          <w:szCs w:val="22"/>
          <w:lang w:val="el-GR"/>
        </w:rPr>
        <w:t>σ</w:t>
      </w:r>
      <w:r w:rsidR="0043553A">
        <w:rPr>
          <w:rFonts w:cstheme="minorHAnsi"/>
          <w:color w:val="243587"/>
          <w:sz w:val="22"/>
          <w:szCs w:val="22"/>
          <w:lang w:val="el-GR"/>
        </w:rPr>
        <w:t>ω</w:t>
      </w:r>
      <w:r w:rsidR="00CD3FC4">
        <w:rPr>
          <w:rFonts w:cstheme="minorHAnsi"/>
          <w:color w:val="243587"/>
          <w:sz w:val="22"/>
          <w:szCs w:val="22"/>
          <w:lang w:val="el-GR"/>
        </w:rPr>
        <w:t xml:space="preserve"> </w:t>
      </w:r>
      <w:r w:rsidR="0043553A">
        <w:rPr>
          <w:rFonts w:cstheme="minorHAnsi"/>
          <w:color w:val="243587"/>
          <w:sz w:val="22"/>
          <w:szCs w:val="22"/>
          <w:lang w:val="el-GR"/>
        </w:rPr>
        <w:t>Αθήνας,</w:t>
      </w:r>
      <w:r w:rsidR="00CD3FC4">
        <w:rPr>
          <w:rFonts w:cstheme="minorHAnsi"/>
          <w:color w:val="243587"/>
          <w:sz w:val="22"/>
          <w:szCs w:val="22"/>
          <w:lang w:val="el-GR"/>
        </w:rPr>
        <w:t xml:space="preserve"> </w:t>
      </w:r>
      <w:r w:rsidR="0043553A">
        <w:rPr>
          <w:rFonts w:cstheme="minorHAnsi"/>
          <w:color w:val="243587"/>
          <w:sz w:val="22"/>
          <w:szCs w:val="22"/>
          <w:lang w:val="el-GR"/>
        </w:rPr>
        <w:t>λόγω</w:t>
      </w:r>
      <w:r w:rsidR="00CD3FC4">
        <w:rPr>
          <w:rFonts w:cstheme="minorHAnsi"/>
          <w:color w:val="243587"/>
          <w:sz w:val="22"/>
          <w:szCs w:val="22"/>
          <w:lang w:val="el-GR"/>
        </w:rPr>
        <w:t xml:space="preserve"> της </w:t>
      </w:r>
      <w:r w:rsidR="00CD7021" w:rsidRPr="00CD7021">
        <w:rPr>
          <w:rFonts w:cstheme="minorHAnsi"/>
          <w:color w:val="243587"/>
          <w:sz w:val="22"/>
          <w:szCs w:val="22"/>
          <w:lang w:val="el-GR"/>
        </w:rPr>
        <w:t xml:space="preserve"> διεύρυνσης του δικτύου εξωτερικού</w:t>
      </w:r>
      <w:r w:rsidR="00421CF2">
        <w:rPr>
          <w:rFonts w:cstheme="minorHAnsi"/>
          <w:color w:val="243587"/>
          <w:sz w:val="22"/>
          <w:szCs w:val="22"/>
          <w:lang w:val="el-GR"/>
        </w:rPr>
        <w:t>,</w:t>
      </w:r>
      <w:r w:rsidR="00CD7021" w:rsidRPr="00CD7021">
        <w:rPr>
          <w:rFonts w:cstheme="minorHAnsi"/>
          <w:color w:val="243587"/>
          <w:sz w:val="22"/>
          <w:szCs w:val="22"/>
          <w:lang w:val="el-GR"/>
        </w:rPr>
        <w:t xml:space="preserve"> </w:t>
      </w:r>
      <w:r w:rsidR="0043553A">
        <w:rPr>
          <w:rFonts w:cstheme="minorHAnsi"/>
          <w:color w:val="243587"/>
          <w:sz w:val="22"/>
          <w:szCs w:val="22"/>
          <w:lang w:val="el-GR"/>
        </w:rPr>
        <w:t>αλλά</w:t>
      </w:r>
      <w:r w:rsidR="00CD3FC4">
        <w:rPr>
          <w:rFonts w:cstheme="minorHAnsi"/>
          <w:color w:val="243587"/>
          <w:sz w:val="22"/>
          <w:szCs w:val="22"/>
          <w:lang w:val="el-GR"/>
        </w:rPr>
        <w:t xml:space="preserve"> και τη</w:t>
      </w:r>
      <w:r w:rsidR="0043553A">
        <w:rPr>
          <w:rFonts w:cstheme="minorHAnsi"/>
          <w:color w:val="243587"/>
          <w:sz w:val="22"/>
          <w:szCs w:val="22"/>
          <w:lang w:val="el-GR"/>
        </w:rPr>
        <w:t>ς</w:t>
      </w:r>
      <w:r w:rsidR="00CD3FC4">
        <w:rPr>
          <w:rFonts w:cstheme="minorHAnsi"/>
          <w:color w:val="243587"/>
          <w:sz w:val="22"/>
          <w:szCs w:val="22"/>
          <w:lang w:val="el-GR"/>
        </w:rPr>
        <w:t xml:space="preserve"> </w:t>
      </w:r>
      <w:r w:rsidR="0043553A">
        <w:rPr>
          <w:rFonts w:cstheme="minorHAnsi"/>
          <w:color w:val="243587"/>
          <w:sz w:val="22"/>
          <w:szCs w:val="22"/>
          <w:lang w:val="el-GR"/>
        </w:rPr>
        <w:t>δυναμικής</w:t>
      </w:r>
      <w:r w:rsidR="00CD3FC4">
        <w:rPr>
          <w:rFonts w:cstheme="minorHAnsi"/>
          <w:color w:val="243587"/>
          <w:sz w:val="22"/>
          <w:szCs w:val="22"/>
          <w:lang w:val="el-GR"/>
        </w:rPr>
        <w:t xml:space="preserve"> </w:t>
      </w:r>
      <w:r w:rsidR="0043553A">
        <w:rPr>
          <w:rFonts w:cstheme="minorHAnsi"/>
          <w:color w:val="243587"/>
          <w:sz w:val="22"/>
          <w:szCs w:val="22"/>
          <w:lang w:val="el-GR"/>
        </w:rPr>
        <w:t>ανάκαμψης</w:t>
      </w:r>
      <w:r w:rsidR="00CD3FC4">
        <w:rPr>
          <w:rFonts w:cstheme="minorHAnsi"/>
          <w:color w:val="243587"/>
          <w:sz w:val="22"/>
          <w:szCs w:val="22"/>
          <w:lang w:val="el-GR"/>
        </w:rPr>
        <w:t xml:space="preserve"> της </w:t>
      </w:r>
      <w:r w:rsidR="0043553A">
        <w:rPr>
          <w:rFonts w:cstheme="minorHAnsi"/>
          <w:color w:val="243587"/>
          <w:sz w:val="22"/>
          <w:szCs w:val="22"/>
          <w:lang w:val="el-GR"/>
        </w:rPr>
        <w:t>οικονομίας</w:t>
      </w:r>
      <w:r w:rsidR="00CD3FC4">
        <w:rPr>
          <w:rFonts w:cstheme="minorHAnsi"/>
          <w:color w:val="243587"/>
          <w:sz w:val="22"/>
          <w:szCs w:val="22"/>
          <w:lang w:val="el-GR"/>
        </w:rPr>
        <w:t xml:space="preserve">. Είναι </w:t>
      </w:r>
      <w:r w:rsidR="0043553A">
        <w:rPr>
          <w:rFonts w:cstheme="minorHAnsi"/>
          <w:color w:val="243587"/>
          <w:sz w:val="22"/>
          <w:szCs w:val="22"/>
          <w:lang w:val="el-GR"/>
        </w:rPr>
        <w:t>σημαντικό</w:t>
      </w:r>
      <w:r w:rsidR="00CD3FC4">
        <w:rPr>
          <w:rFonts w:cstheme="minorHAnsi"/>
          <w:color w:val="243587"/>
          <w:sz w:val="22"/>
          <w:szCs w:val="22"/>
          <w:lang w:val="el-GR"/>
        </w:rPr>
        <w:t xml:space="preserve"> ότι </w:t>
      </w:r>
      <w:r w:rsidR="00CD7021" w:rsidRPr="00CD7021">
        <w:rPr>
          <w:rFonts w:cstheme="minorHAnsi"/>
          <w:color w:val="243587"/>
          <w:sz w:val="22"/>
          <w:szCs w:val="22"/>
          <w:lang w:val="el-GR"/>
        </w:rPr>
        <w:t>μικρότερο</w:t>
      </w:r>
      <w:r w:rsidR="0043553A">
        <w:rPr>
          <w:rFonts w:cstheme="minorHAnsi"/>
          <w:color w:val="243587"/>
          <w:sz w:val="22"/>
          <w:szCs w:val="22"/>
          <w:lang w:val="el-GR"/>
        </w:rPr>
        <w:t>ι</w:t>
      </w:r>
      <w:r w:rsidR="00CD7021" w:rsidRPr="00CD7021">
        <w:rPr>
          <w:rFonts w:cstheme="minorHAnsi"/>
          <w:color w:val="243587"/>
          <w:sz w:val="22"/>
          <w:szCs w:val="22"/>
          <w:lang w:val="el-GR"/>
        </w:rPr>
        <w:t xml:space="preserve"> περιφερειακο</w:t>
      </w:r>
      <w:r w:rsidR="0043553A">
        <w:rPr>
          <w:rFonts w:cstheme="minorHAnsi"/>
          <w:color w:val="243587"/>
          <w:sz w:val="22"/>
          <w:szCs w:val="22"/>
          <w:lang w:val="el-GR"/>
        </w:rPr>
        <w:t xml:space="preserve">ί </w:t>
      </w:r>
      <w:r w:rsidR="00CD7021" w:rsidRPr="00CD7021">
        <w:rPr>
          <w:rFonts w:cstheme="minorHAnsi"/>
          <w:color w:val="243587"/>
          <w:sz w:val="22"/>
          <w:szCs w:val="22"/>
          <w:lang w:val="el-GR"/>
        </w:rPr>
        <w:t>προορισμο</w:t>
      </w:r>
      <w:r w:rsidR="0043553A">
        <w:rPr>
          <w:rFonts w:cstheme="minorHAnsi"/>
          <w:color w:val="243587"/>
          <w:sz w:val="22"/>
          <w:szCs w:val="22"/>
          <w:lang w:val="el-GR"/>
        </w:rPr>
        <w:t>ί,</w:t>
      </w:r>
      <w:r w:rsidR="00CD7021" w:rsidRPr="00CD7021">
        <w:rPr>
          <w:rFonts w:cstheme="minorHAnsi"/>
          <w:color w:val="243587"/>
          <w:sz w:val="22"/>
          <w:szCs w:val="22"/>
          <w:lang w:val="el-GR"/>
        </w:rPr>
        <w:t xml:space="preserve"> όπως π</w:t>
      </w:r>
      <w:r w:rsidR="0043553A">
        <w:rPr>
          <w:rFonts w:cstheme="minorHAnsi"/>
          <w:color w:val="243587"/>
          <w:sz w:val="22"/>
          <w:szCs w:val="22"/>
          <w:lang w:val="el-GR"/>
        </w:rPr>
        <w:t>.</w:t>
      </w:r>
      <w:r w:rsidR="00CD7021" w:rsidRPr="00CD7021">
        <w:rPr>
          <w:rFonts w:cstheme="minorHAnsi"/>
          <w:color w:val="243587"/>
          <w:sz w:val="22"/>
          <w:szCs w:val="22"/>
          <w:lang w:val="el-GR"/>
        </w:rPr>
        <w:t>χ</w:t>
      </w:r>
      <w:r w:rsidR="0043553A">
        <w:rPr>
          <w:rFonts w:cstheme="minorHAnsi"/>
          <w:color w:val="243587"/>
          <w:sz w:val="22"/>
          <w:szCs w:val="22"/>
          <w:lang w:val="el-GR"/>
        </w:rPr>
        <w:t>.</w:t>
      </w:r>
      <w:r w:rsidR="00CD7021" w:rsidRPr="00CD7021">
        <w:rPr>
          <w:rFonts w:cstheme="minorHAnsi"/>
          <w:color w:val="243587"/>
          <w:sz w:val="22"/>
          <w:szCs w:val="22"/>
          <w:lang w:val="el-GR"/>
        </w:rPr>
        <w:t xml:space="preserve"> </w:t>
      </w:r>
      <w:r w:rsidR="00CD3FC4">
        <w:rPr>
          <w:rFonts w:cstheme="minorHAnsi"/>
          <w:color w:val="243587"/>
          <w:sz w:val="22"/>
          <w:szCs w:val="22"/>
          <w:lang w:val="el-GR"/>
        </w:rPr>
        <w:t xml:space="preserve">η </w:t>
      </w:r>
      <w:r w:rsidR="00CD7021" w:rsidRPr="00CD7021">
        <w:rPr>
          <w:rFonts w:cstheme="minorHAnsi"/>
          <w:color w:val="243587"/>
          <w:sz w:val="22"/>
          <w:szCs w:val="22"/>
          <w:lang w:val="el-GR"/>
        </w:rPr>
        <w:t xml:space="preserve">Σητεία, </w:t>
      </w:r>
      <w:r w:rsidR="0043553A">
        <w:rPr>
          <w:rFonts w:cstheme="minorHAnsi"/>
          <w:color w:val="243587"/>
          <w:sz w:val="22"/>
          <w:szCs w:val="22"/>
          <w:lang w:val="el-GR"/>
        </w:rPr>
        <w:t xml:space="preserve">η </w:t>
      </w:r>
      <w:r w:rsidR="00CD7021" w:rsidRPr="00CD7021">
        <w:rPr>
          <w:rFonts w:cstheme="minorHAnsi"/>
          <w:color w:val="243587"/>
          <w:sz w:val="22"/>
          <w:szCs w:val="22"/>
          <w:lang w:val="el-GR"/>
        </w:rPr>
        <w:t xml:space="preserve">Σκύρος, </w:t>
      </w:r>
      <w:r w:rsidR="0043553A">
        <w:rPr>
          <w:rFonts w:cstheme="minorHAnsi"/>
          <w:color w:val="243587"/>
          <w:sz w:val="22"/>
          <w:szCs w:val="22"/>
          <w:lang w:val="el-GR"/>
        </w:rPr>
        <w:t xml:space="preserve">η </w:t>
      </w:r>
      <w:r w:rsidR="00CD7021" w:rsidRPr="00CD7021">
        <w:rPr>
          <w:rFonts w:cstheme="minorHAnsi"/>
          <w:color w:val="243587"/>
          <w:sz w:val="22"/>
          <w:szCs w:val="22"/>
          <w:lang w:val="el-GR"/>
        </w:rPr>
        <w:t>Νάξος,</w:t>
      </w:r>
      <w:r w:rsidR="0043553A">
        <w:rPr>
          <w:rFonts w:cstheme="minorHAnsi"/>
          <w:color w:val="243587"/>
          <w:sz w:val="22"/>
          <w:szCs w:val="22"/>
          <w:lang w:val="el-GR"/>
        </w:rPr>
        <w:t xml:space="preserve"> η</w:t>
      </w:r>
      <w:r w:rsidR="00CD7021" w:rsidRPr="00CD7021">
        <w:rPr>
          <w:rFonts w:cstheme="minorHAnsi"/>
          <w:color w:val="243587"/>
          <w:sz w:val="22"/>
          <w:szCs w:val="22"/>
          <w:lang w:val="el-GR"/>
        </w:rPr>
        <w:t xml:space="preserve"> Λήμνος</w:t>
      </w:r>
      <w:r w:rsidR="00CD3FC4">
        <w:rPr>
          <w:rFonts w:cstheme="minorHAnsi"/>
          <w:color w:val="243587"/>
          <w:sz w:val="22"/>
          <w:szCs w:val="22"/>
          <w:lang w:val="el-GR"/>
        </w:rPr>
        <w:t xml:space="preserve"> </w:t>
      </w:r>
      <w:r w:rsidR="0043553A">
        <w:rPr>
          <w:rFonts w:cstheme="minorHAnsi"/>
          <w:color w:val="243587"/>
          <w:sz w:val="22"/>
          <w:szCs w:val="22"/>
          <w:lang w:val="el-GR"/>
        </w:rPr>
        <w:t>είχαν</w:t>
      </w:r>
      <w:r w:rsidR="00CD3FC4">
        <w:rPr>
          <w:rFonts w:cstheme="minorHAnsi"/>
          <w:color w:val="243587"/>
          <w:sz w:val="22"/>
          <w:szCs w:val="22"/>
          <w:lang w:val="el-GR"/>
        </w:rPr>
        <w:t xml:space="preserve"> </w:t>
      </w:r>
      <w:r w:rsidR="0043553A">
        <w:rPr>
          <w:rFonts w:cstheme="minorHAnsi"/>
          <w:color w:val="243587"/>
          <w:sz w:val="22"/>
          <w:szCs w:val="22"/>
          <w:lang w:val="el-GR"/>
        </w:rPr>
        <w:t>εξαιρετική</w:t>
      </w:r>
      <w:r w:rsidR="00CD3FC4">
        <w:rPr>
          <w:rFonts w:cstheme="minorHAnsi"/>
          <w:color w:val="243587"/>
          <w:sz w:val="22"/>
          <w:szCs w:val="22"/>
          <w:lang w:val="el-GR"/>
        </w:rPr>
        <w:t xml:space="preserve"> </w:t>
      </w:r>
      <w:r w:rsidR="0043553A">
        <w:rPr>
          <w:rFonts w:cstheme="minorHAnsi"/>
          <w:color w:val="243587"/>
          <w:sz w:val="22"/>
          <w:szCs w:val="22"/>
          <w:lang w:val="el-GR"/>
        </w:rPr>
        <w:t>δυναμική</w:t>
      </w:r>
      <w:r w:rsidR="00CD3FC4">
        <w:rPr>
          <w:rFonts w:cstheme="minorHAnsi"/>
          <w:color w:val="243587"/>
          <w:sz w:val="22"/>
          <w:szCs w:val="22"/>
          <w:lang w:val="el-GR"/>
        </w:rPr>
        <w:t xml:space="preserve"> </w:t>
      </w:r>
      <w:r w:rsidR="0043553A">
        <w:rPr>
          <w:rFonts w:cstheme="minorHAnsi"/>
          <w:color w:val="243587"/>
          <w:sz w:val="22"/>
          <w:szCs w:val="22"/>
          <w:lang w:val="el-GR"/>
        </w:rPr>
        <w:t>ανάπτυξης</w:t>
      </w:r>
      <w:r w:rsidR="00CD3FC4">
        <w:rPr>
          <w:rFonts w:cstheme="minorHAnsi"/>
          <w:color w:val="243587"/>
          <w:sz w:val="22"/>
          <w:szCs w:val="22"/>
          <w:lang w:val="el-GR"/>
        </w:rPr>
        <w:t xml:space="preserve">. </w:t>
      </w:r>
      <w:r w:rsidR="00CD7021" w:rsidRPr="00CD7021">
        <w:rPr>
          <w:rFonts w:cstheme="minorHAnsi"/>
          <w:color w:val="243587"/>
          <w:sz w:val="22"/>
          <w:szCs w:val="22"/>
          <w:lang w:val="el-GR"/>
        </w:rPr>
        <w:t>Συνολικά</w:t>
      </w:r>
      <w:r w:rsidR="00E308AE">
        <w:rPr>
          <w:rFonts w:cstheme="minorHAnsi"/>
          <w:color w:val="243587"/>
          <w:sz w:val="22"/>
          <w:szCs w:val="22"/>
          <w:lang w:val="el-GR"/>
        </w:rPr>
        <w:t>,</w:t>
      </w:r>
      <w:r w:rsidR="00CD7021" w:rsidRPr="00CD7021">
        <w:rPr>
          <w:rFonts w:cstheme="minorHAnsi"/>
          <w:color w:val="243587"/>
          <w:sz w:val="22"/>
          <w:szCs w:val="22"/>
          <w:lang w:val="el-GR"/>
        </w:rPr>
        <w:t xml:space="preserve"> η μέση πληρότητα πτήσεων βελτιώθηκε σε 83,4% από 79,4% το 2022.</w:t>
      </w:r>
    </w:p>
    <w:p w14:paraId="54DD93AB" w14:textId="7AF84B87" w:rsidR="00886A4A" w:rsidRDefault="00D3135B" w:rsidP="009812F0">
      <w:pPr>
        <w:tabs>
          <w:tab w:val="left" w:pos="9498"/>
        </w:tabs>
        <w:spacing w:after="240"/>
        <w:ind w:right="-8"/>
        <w:jc w:val="both"/>
        <w:rPr>
          <w:rFonts w:cstheme="minorHAnsi"/>
          <w:color w:val="243587"/>
          <w:sz w:val="22"/>
          <w:szCs w:val="22"/>
          <w:lang w:val="el-GR"/>
        </w:rPr>
      </w:pPr>
      <w:r w:rsidRPr="00D3135B">
        <w:rPr>
          <w:rFonts w:cstheme="minorHAnsi"/>
          <w:color w:val="243587"/>
          <w:sz w:val="22"/>
          <w:szCs w:val="22"/>
          <w:lang w:val="el-GR"/>
        </w:rPr>
        <w:t>Η διεύρυνση του δικτύου</w:t>
      </w:r>
      <w:r w:rsidR="0026027B" w:rsidRPr="0026027B">
        <w:rPr>
          <w:rFonts w:cstheme="minorHAnsi"/>
          <w:color w:val="243587"/>
          <w:sz w:val="22"/>
          <w:szCs w:val="22"/>
          <w:lang w:val="el-GR"/>
        </w:rPr>
        <w:t xml:space="preserve"> </w:t>
      </w:r>
      <w:r w:rsidR="0026027B">
        <w:rPr>
          <w:rFonts w:cstheme="minorHAnsi"/>
          <w:color w:val="243587"/>
          <w:sz w:val="22"/>
          <w:szCs w:val="22"/>
          <w:lang w:val="el-GR"/>
        </w:rPr>
        <w:t xml:space="preserve">της </w:t>
      </w:r>
      <w:r w:rsidR="00E85364">
        <w:rPr>
          <w:rFonts w:cstheme="minorHAnsi"/>
          <w:color w:val="243587"/>
          <w:sz w:val="22"/>
          <w:szCs w:val="22"/>
          <w:lang w:val="en-US"/>
        </w:rPr>
        <w:t>AEGEAN</w:t>
      </w:r>
      <w:r w:rsidRPr="00D3135B">
        <w:rPr>
          <w:rFonts w:cstheme="minorHAnsi"/>
          <w:color w:val="243587"/>
          <w:sz w:val="22"/>
          <w:szCs w:val="22"/>
          <w:lang w:val="el-GR"/>
        </w:rPr>
        <w:t xml:space="preserve">, που </w:t>
      </w:r>
      <w:r>
        <w:rPr>
          <w:rFonts w:cstheme="minorHAnsi"/>
          <w:color w:val="243587"/>
          <w:sz w:val="22"/>
          <w:szCs w:val="22"/>
          <w:lang w:val="el-GR"/>
        </w:rPr>
        <w:t>ξεπέρασε</w:t>
      </w:r>
      <w:r w:rsidRPr="00D3135B">
        <w:rPr>
          <w:rFonts w:cstheme="minorHAnsi"/>
          <w:color w:val="243587"/>
          <w:sz w:val="22"/>
          <w:szCs w:val="22"/>
          <w:lang w:val="el-GR"/>
        </w:rPr>
        <w:t xml:space="preserve"> τους 1</w:t>
      </w:r>
      <w:r w:rsidR="003F28D5">
        <w:rPr>
          <w:rFonts w:cstheme="minorHAnsi"/>
          <w:color w:val="243587"/>
          <w:sz w:val="22"/>
          <w:szCs w:val="22"/>
          <w:lang w:val="el-GR"/>
        </w:rPr>
        <w:t>80</w:t>
      </w:r>
      <w:r w:rsidRPr="00D3135B">
        <w:rPr>
          <w:rFonts w:cstheme="minorHAnsi"/>
          <w:color w:val="243587"/>
          <w:sz w:val="22"/>
          <w:szCs w:val="22"/>
          <w:lang w:val="el-GR"/>
        </w:rPr>
        <w:t xml:space="preserve"> προορισμούς σε 4</w:t>
      </w:r>
      <w:r w:rsidR="003F28D5">
        <w:rPr>
          <w:rFonts w:cstheme="minorHAnsi"/>
          <w:color w:val="243587"/>
          <w:sz w:val="22"/>
          <w:szCs w:val="22"/>
          <w:lang w:val="el-GR"/>
        </w:rPr>
        <w:t>9</w:t>
      </w:r>
      <w:r w:rsidRPr="00D3135B">
        <w:rPr>
          <w:rFonts w:cstheme="minorHAnsi"/>
          <w:color w:val="243587"/>
          <w:sz w:val="22"/>
          <w:szCs w:val="22"/>
          <w:lang w:val="el-GR"/>
        </w:rPr>
        <w:t xml:space="preserve"> χώρες, προσθέτοντας περισσότερους από </w:t>
      </w:r>
      <w:r>
        <w:rPr>
          <w:rFonts w:cstheme="minorHAnsi"/>
          <w:color w:val="243587"/>
          <w:sz w:val="22"/>
          <w:szCs w:val="22"/>
          <w:lang w:val="el-GR"/>
        </w:rPr>
        <w:t>3</w:t>
      </w:r>
      <w:r w:rsidR="0026027B">
        <w:rPr>
          <w:rFonts w:cstheme="minorHAnsi"/>
          <w:color w:val="243587"/>
          <w:sz w:val="22"/>
          <w:szCs w:val="22"/>
          <w:lang w:val="el-GR"/>
        </w:rPr>
        <w:t>0</w:t>
      </w:r>
      <w:r>
        <w:rPr>
          <w:rFonts w:cstheme="minorHAnsi"/>
          <w:color w:val="243587"/>
          <w:sz w:val="22"/>
          <w:szCs w:val="22"/>
          <w:lang w:val="el-GR"/>
        </w:rPr>
        <w:t xml:space="preserve"> </w:t>
      </w:r>
      <w:r w:rsidRPr="00D3135B">
        <w:rPr>
          <w:rFonts w:cstheme="minorHAnsi"/>
          <w:color w:val="243587"/>
          <w:sz w:val="22"/>
          <w:szCs w:val="22"/>
          <w:lang w:val="el-GR"/>
        </w:rPr>
        <w:t xml:space="preserve">νέους προορισμούς </w:t>
      </w:r>
      <w:r w:rsidR="0026027B">
        <w:rPr>
          <w:rFonts w:cstheme="minorHAnsi"/>
          <w:color w:val="243587"/>
          <w:sz w:val="22"/>
          <w:szCs w:val="22"/>
          <w:lang w:val="el-GR"/>
        </w:rPr>
        <w:t xml:space="preserve">εξωτερικού </w:t>
      </w:r>
      <w:r w:rsidRPr="00D3135B">
        <w:rPr>
          <w:rFonts w:cstheme="minorHAnsi"/>
          <w:color w:val="243587"/>
          <w:sz w:val="22"/>
          <w:szCs w:val="22"/>
          <w:lang w:val="el-GR"/>
        </w:rPr>
        <w:t xml:space="preserve">την καλοκαιρινή </w:t>
      </w:r>
      <w:r w:rsidR="00421CF2">
        <w:rPr>
          <w:rFonts w:cstheme="minorHAnsi"/>
          <w:color w:val="243587"/>
          <w:sz w:val="22"/>
          <w:szCs w:val="22"/>
          <w:lang w:val="el-GR"/>
        </w:rPr>
        <w:t xml:space="preserve">περίοδο, </w:t>
      </w:r>
      <w:r w:rsidR="00A8732B">
        <w:rPr>
          <w:rFonts w:cstheme="minorHAnsi"/>
          <w:color w:val="243587"/>
          <w:sz w:val="22"/>
          <w:szCs w:val="22"/>
          <w:lang w:val="el-GR"/>
        </w:rPr>
        <w:t xml:space="preserve">και </w:t>
      </w:r>
      <w:r w:rsidR="00C853E3" w:rsidRPr="009B7495">
        <w:rPr>
          <w:rFonts w:cstheme="minorHAnsi"/>
          <w:color w:val="243587"/>
          <w:sz w:val="22"/>
          <w:szCs w:val="22"/>
          <w:lang w:val="el-GR"/>
        </w:rPr>
        <w:t>ιδιαίτερα</w:t>
      </w:r>
      <w:r w:rsidR="00421CF2" w:rsidRPr="009B7495">
        <w:rPr>
          <w:rFonts w:cstheme="minorHAnsi"/>
          <w:color w:val="243587"/>
          <w:sz w:val="22"/>
          <w:szCs w:val="22"/>
          <w:lang w:val="el-GR"/>
        </w:rPr>
        <w:t xml:space="preserve"> τη</w:t>
      </w:r>
      <w:r w:rsidR="00C853E3" w:rsidRPr="009B7495">
        <w:rPr>
          <w:rFonts w:cstheme="minorHAnsi"/>
          <w:color w:val="243587"/>
          <w:sz w:val="22"/>
          <w:szCs w:val="22"/>
          <w:lang w:val="el-GR"/>
        </w:rPr>
        <w:t xml:space="preserve"> </w:t>
      </w:r>
      <w:r w:rsidRPr="009B7495">
        <w:rPr>
          <w:rFonts w:cstheme="minorHAnsi"/>
          <w:color w:val="243587"/>
          <w:sz w:val="22"/>
          <w:szCs w:val="22"/>
          <w:lang w:val="el-GR"/>
        </w:rPr>
        <w:t>χειμερινή</w:t>
      </w:r>
      <w:r w:rsidR="00A8732B" w:rsidRPr="009B7495">
        <w:rPr>
          <w:rFonts w:cstheme="minorHAnsi"/>
          <w:color w:val="243587"/>
          <w:sz w:val="22"/>
          <w:szCs w:val="22"/>
          <w:lang w:val="el-GR"/>
        </w:rPr>
        <w:t>,</w:t>
      </w:r>
      <w:r w:rsidRPr="00D3135B">
        <w:rPr>
          <w:rFonts w:cstheme="minorHAnsi"/>
          <w:color w:val="243587"/>
          <w:sz w:val="22"/>
          <w:szCs w:val="22"/>
          <w:lang w:val="el-GR"/>
        </w:rPr>
        <w:t xml:space="preserve"> </w:t>
      </w:r>
      <w:r w:rsidR="00A8732B">
        <w:rPr>
          <w:rFonts w:cstheme="minorHAnsi"/>
          <w:color w:val="243587"/>
          <w:sz w:val="22"/>
          <w:szCs w:val="22"/>
          <w:lang w:val="el-GR"/>
        </w:rPr>
        <w:t xml:space="preserve">αλλά </w:t>
      </w:r>
      <w:r w:rsidRPr="00D3135B">
        <w:rPr>
          <w:rFonts w:cstheme="minorHAnsi"/>
          <w:color w:val="243587"/>
          <w:sz w:val="22"/>
          <w:szCs w:val="22"/>
          <w:lang w:val="el-GR"/>
        </w:rPr>
        <w:t xml:space="preserve">και η αύξηση της προσφερόμενης χωρητικότητας με σχεδόν </w:t>
      </w:r>
      <w:r w:rsidR="00D3423F" w:rsidRPr="009B7495">
        <w:rPr>
          <w:rFonts w:cstheme="minorHAnsi"/>
          <w:color w:val="243587"/>
          <w:sz w:val="22"/>
          <w:szCs w:val="22"/>
          <w:lang w:val="el-GR"/>
        </w:rPr>
        <w:t>2,2</w:t>
      </w:r>
      <w:r w:rsidRPr="003F28D5">
        <w:rPr>
          <w:rFonts w:cstheme="minorHAnsi"/>
          <w:color w:val="243587"/>
          <w:sz w:val="22"/>
          <w:szCs w:val="22"/>
          <w:lang w:val="el-GR"/>
        </w:rPr>
        <w:t xml:space="preserve"> εκατ. περισσότερες διαθέσιμες </w:t>
      </w:r>
      <w:r w:rsidR="007223ED">
        <w:rPr>
          <w:rFonts w:cstheme="minorHAnsi"/>
          <w:color w:val="243587"/>
          <w:sz w:val="22"/>
          <w:szCs w:val="22"/>
          <w:lang w:val="el-GR"/>
        </w:rPr>
        <w:t xml:space="preserve">θέσεις </w:t>
      </w:r>
      <w:r w:rsidR="002E781D" w:rsidRPr="003F28D5">
        <w:rPr>
          <w:rFonts w:cstheme="minorHAnsi"/>
          <w:color w:val="243587"/>
          <w:sz w:val="22"/>
          <w:szCs w:val="22"/>
          <w:lang w:val="el-GR"/>
        </w:rPr>
        <w:t>εξωτερικού</w:t>
      </w:r>
      <w:r w:rsidRPr="003F28D5">
        <w:rPr>
          <w:rFonts w:cstheme="minorHAnsi"/>
          <w:color w:val="243587"/>
          <w:sz w:val="22"/>
          <w:szCs w:val="22"/>
          <w:lang w:val="el-GR"/>
        </w:rPr>
        <w:t xml:space="preserve"> συγκριτικά με το 2022,</w:t>
      </w:r>
      <w:r w:rsidRPr="00D3135B">
        <w:rPr>
          <w:rFonts w:cstheme="minorHAnsi"/>
          <w:color w:val="243587"/>
          <w:sz w:val="22"/>
          <w:szCs w:val="22"/>
          <w:lang w:val="el-GR"/>
        </w:rPr>
        <w:t xml:space="preserve"> συνέβαλαν στην ισχυρή δυναμική της ανάπτυξη</w:t>
      </w:r>
      <w:r w:rsidR="0026027B">
        <w:rPr>
          <w:rFonts w:cstheme="minorHAnsi"/>
          <w:color w:val="243587"/>
          <w:sz w:val="22"/>
          <w:szCs w:val="22"/>
          <w:lang w:val="el-GR"/>
        </w:rPr>
        <w:t xml:space="preserve"> και την επιτυχία που καταγράφηκε.</w:t>
      </w:r>
      <w:r w:rsidR="002912C3" w:rsidRPr="00366543">
        <w:rPr>
          <w:rFonts w:cstheme="minorHAnsi"/>
          <w:color w:val="243587"/>
          <w:sz w:val="22"/>
          <w:szCs w:val="22"/>
          <w:lang w:val="el-GR"/>
        </w:rPr>
        <w:t xml:space="preserve"> </w:t>
      </w:r>
      <w:r w:rsidR="0026027B" w:rsidRPr="002912C3">
        <w:rPr>
          <w:rFonts w:cstheme="minorHAnsi"/>
          <w:color w:val="243587"/>
          <w:sz w:val="22"/>
          <w:szCs w:val="22"/>
          <w:lang w:val="el-GR"/>
        </w:rPr>
        <w:t>Παράλληλα, η ενίσχυση της διάθεσης και της δυνατότητας των Ελλήνων για ταξίδια αναψυχής, σε συνδυασμό με την υψηλή δυναμική της τουριστικής ζήτησης</w:t>
      </w:r>
      <w:r w:rsidR="00886A4A" w:rsidRPr="002912C3">
        <w:rPr>
          <w:rFonts w:cstheme="minorHAnsi"/>
          <w:color w:val="243587"/>
          <w:sz w:val="22"/>
          <w:szCs w:val="22"/>
          <w:lang w:val="el-GR"/>
        </w:rPr>
        <w:t xml:space="preserve"> καθ’ όλη τη διάρκεια του χρόνου</w:t>
      </w:r>
      <w:r w:rsidR="0026027B" w:rsidRPr="002912C3">
        <w:rPr>
          <w:rFonts w:cstheme="minorHAnsi"/>
          <w:color w:val="243587"/>
          <w:sz w:val="22"/>
          <w:szCs w:val="22"/>
          <w:lang w:val="el-GR"/>
        </w:rPr>
        <w:t>, συνέβαλαν στην περαιτέρω ενίσχυση τόσο του κύριου κόμβου της Αθήνας και της Θεσσαλονίκης</w:t>
      </w:r>
      <w:r w:rsidR="007252A9" w:rsidRPr="002912C3">
        <w:rPr>
          <w:rFonts w:cstheme="minorHAnsi"/>
          <w:color w:val="243587"/>
          <w:sz w:val="22"/>
          <w:szCs w:val="22"/>
          <w:lang w:val="el-GR"/>
        </w:rPr>
        <w:t>,</w:t>
      </w:r>
      <w:r w:rsidR="0026027B" w:rsidRPr="002912C3">
        <w:rPr>
          <w:rFonts w:cstheme="minorHAnsi"/>
          <w:color w:val="243587"/>
          <w:sz w:val="22"/>
          <w:szCs w:val="22"/>
          <w:lang w:val="el-GR"/>
        </w:rPr>
        <w:t xml:space="preserve"> όσο και μικρότερων, λιγότερο προβεβλημένων προορισμών</w:t>
      </w:r>
      <w:r w:rsidR="00E85364" w:rsidRPr="002912C3">
        <w:rPr>
          <w:rFonts w:cstheme="minorHAnsi"/>
          <w:color w:val="243587"/>
          <w:sz w:val="22"/>
          <w:szCs w:val="22"/>
          <w:lang w:val="el-GR"/>
        </w:rPr>
        <w:t>,</w:t>
      </w:r>
      <w:r w:rsidR="0026027B" w:rsidRPr="002912C3">
        <w:rPr>
          <w:rFonts w:cstheme="minorHAnsi"/>
          <w:color w:val="243587"/>
          <w:sz w:val="22"/>
          <w:szCs w:val="22"/>
          <w:lang w:val="el-GR"/>
        </w:rPr>
        <w:t xml:space="preserve"> με την AEGEAN να έχει συμβάλει καταλυτικά στη </w:t>
      </w:r>
      <w:r w:rsidR="00A07849" w:rsidRPr="002912C3">
        <w:rPr>
          <w:rFonts w:cstheme="minorHAnsi"/>
          <w:color w:val="243587"/>
          <w:sz w:val="22"/>
          <w:szCs w:val="22"/>
          <w:lang w:val="el-GR"/>
        </w:rPr>
        <w:t>διάχυση του τουριστικού προϊόντος</w:t>
      </w:r>
      <w:r w:rsidR="00886A4A" w:rsidRPr="002912C3">
        <w:rPr>
          <w:rFonts w:cstheme="minorHAnsi"/>
          <w:color w:val="243587"/>
          <w:sz w:val="22"/>
          <w:szCs w:val="22"/>
          <w:lang w:val="el-GR"/>
        </w:rPr>
        <w:t>, αλλά και στην διεύρυνση της τουριστικής περιόδου, δίνοντας αυξημένες επιλογές</w:t>
      </w:r>
      <w:r w:rsidR="00B641FA" w:rsidRPr="002912C3">
        <w:rPr>
          <w:rFonts w:cstheme="minorHAnsi"/>
          <w:color w:val="243587"/>
          <w:sz w:val="22"/>
          <w:szCs w:val="22"/>
          <w:lang w:val="el-GR"/>
        </w:rPr>
        <w:t xml:space="preserve"> στους επιβάτες και κατά τους χειμερινούς μήνες. Νέοι προορισμοί, όπως το Ντουμπάι, το Ίνσμπρουκ και η Μπρατισλάβα, αλλά και η διατήρηση θερινών δρομολογίων (από την Αθήνα προς το  Μπρίστολ, τη Μάλαγα, το Μπιλμπάο, το Ταλίν, τη Ρίγα, την Τυνησία, αλλά και προς τη Βαρκελώνη από τη Θεσσαλονίκη) κατά τη χειμερινή περίοδο</w:t>
      </w:r>
      <w:r w:rsidR="000C51D6" w:rsidRPr="002912C3">
        <w:rPr>
          <w:rFonts w:cstheme="minorHAnsi"/>
          <w:color w:val="243587"/>
          <w:sz w:val="22"/>
          <w:szCs w:val="22"/>
          <w:lang w:val="el-GR"/>
        </w:rPr>
        <w:t>,</w:t>
      </w:r>
      <w:r w:rsidR="00B641FA" w:rsidRPr="002912C3">
        <w:rPr>
          <w:rFonts w:cstheme="minorHAnsi"/>
          <w:color w:val="243587"/>
          <w:sz w:val="22"/>
          <w:szCs w:val="22"/>
          <w:lang w:val="el-GR"/>
        </w:rPr>
        <w:t xml:space="preserve"> είχ</w:t>
      </w:r>
      <w:r w:rsidR="007252A9" w:rsidRPr="002912C3">
        <w:rPr>
          <w:rFonts w:cstheme="minorHAnsi"/>
          <w:color w:val="243587"/>
          <w:sz w:val="22"/>
          <w:szCs w:val="22"/>
          <w:lang w:val="el-GR"/>
        </w:rPr>
        <w:t>αν</w:t>
      </w:r>
      <w:r w:rsidR="00B641FA" w:rsidRPr="002912C3">
        <w:rPr>
          <w:rFonts w:cstheme="minorHAnsi"/>
          <w:color w:val="243587"/>
          <w:sz w:val="22"/>
          <w:szCs w:val="22"/>
          <w:lang w:val="el-GR"/>
        </w:rPr>
        <w:t xml:space="preserve"> ως αποτέλεσμα την αύξηση των χιλιομετρικών θέσεων κατά 23%, ξεπερνώντας τα 20 δις χιλιομετρικές θέσεις σε σχέση με το 2022</w:t>
      </w:r>
      <w:r w:rsidR="00E308AE" w:rsidRPr="002912C3">
        <w:rPr>
          <w:rFonts w:cstheme="minorHAnsi"/>
          <w:color w:val="243587"/>
          <w:sz w:val="22"/>
          <w:szCs w:val="22"/>
          <w:lang w:val="el-GR"/>
        </w:rPr>
        <w:t>.</w:t>
      </w:r>
    </w:p>
    <w:p w14:paraId="56E792A7" w14:textId="22768231" w:rsidR="00D90440" w:rsidRDefault="006C7866" w:rsidP="009812F0">
      <w:pPr>
        <w:tabs>
          <w:tab w:val="left" w:pos="9498"/>
        </w:tabs>
        <w:spacing w:after="240"/>
        <w:ind w:right="-8"/>
        <w:jc w:val="both"/>
        <w:rPr>
          <w:rFonts w:cstheme="minorHAnsi"/>
          <w:color w:val="243587"/>
          <w:sz w:val="22"/>
          <w:szCs w:val="22"/>
          <w:lang w:val="el-GR"/>
        </w:rPr>
      </w:pPr>
      <w:r w:rsidRPr="009B6427">
        <w:rPr>
          <w:rFonts w:cstheme="minorHAnsi"/>
          <w:color w:val="243587"/>
          <w:sz w:val="22"/>
          <w:szCs w:val="22"/>
          <w:lang w:val="el-GR"/>
        </w:rPr>
        <w:t xml:space="preserve">Η </w:t>
      </w:r>
      <w:r w:rsidR="00D90440" w:rsidRPr="009B6427">
        <w:rPr>
          <w:rFonts w:cstheme="minorHAnsi"/>
          <w:color w:val="243587"/>
          <w:sz w:val="22"/>
          <w:szCs w:val="22"/>
          <w:lang w:val="el-GR"/>
        </w:rPr>
        <w:t>επιβατική κίνηση</w:t>
      </w:r>
      <w:r w:rsidR="00F80EA9" w:rsidRPr="009B6427">
        <w:rPr>
          <w:rFonts w:cstheme="minorHAnsi"/>
          <w:color w:val="243587"/>
          <w:sz w:val="22"/>
          <w:szCs w:val="22"/>
          <w:lang w:val="el-GR"/>
        </w:rPr>
        <w:t xml:space="preserve"> της </w:t>
      </w:r>
      <w:r w:rsidR="00F80EA9" w:rsidRPr="009B6427">
        <w:rPr>
          <w:rFonts w:cstheme="minorHAnsi"/>
          <w:color w:val="243587"/>
          <w:sz w:val="22"/>
          <w:szCs w:val="22"/>
          <w:lang w:val="en-US"/>
        </w:rPr>
        <w:t>AEGEAN</w:t>
      </w:r>
      <w:r w:rsidR="00D90440" w:rsidRPr="009B6427">
        <w:rPr>
          <w:rFonts w:cstheme="minorHAnsi"/>
          <w:color w:val="243587"/>
          <w:sz w:val="22"/>
          <w:szCs w:val="22"/>
          <w:lang w:val="el-GR"/>
        </w:rPr>
        <w:t xml:space="preserve"> από και προς το Αεροδρόμιο «Ελευθέριος Βενιζέλος» της Αθήνας</w:t>
      </w:r>
      <w:r w:rsidR="006D1A15" w:rsidRPr="009B6427">
        <w:rPr>
          <w:rFonts w:cstheme="minorHAnsi"/>
          <w:color w:val="243587"/>
          <w:sz w:val="22"/>
          <w:szCs w:val="22"/>
          <w:lang w:val="el-GR"/>
        </w:rPr>
        <w:t xml:space="preserve"> </w:t>
      </w:r>
      <w:r w:rsidRPr="009B6427">
        <w:rPr>
          <w:rFonts w:cstheme="minorHAnsi"/>
          <w:color w:val="243587"/>
          <w:sz w:val="22"/>
          <w:szCs w:val="22"/>
          <w:lang w:val="el-GR"/>
        </w:rPr>
        <w:t xml:space="preserve">έφτασε </w:t>
      </w:r>
      <w:r w:rsidR="006D1A15" w:rsidRPr="009B6427">
        <w:rPr>
          <w:rFonts w:cstheme="minorHAnsi"/>
          <w:color w:val="243587"/>
          <w:sz w:val="22"/>
          <w:szCs w:val="22"/>
          <w:lang w:val="el-GR"/>
        </w:rPr>
        <w:t xml:space="preserve">τα </w:t>
      </w:r>
      <w:r w:rsidRPr="009B6427">
        <w:rPr>
          <w:rFonts w:cstheme="minorHAnsi"/>
          <w:color w:val="243587"/>
          <w:sz w:val="22"/>
          <w:szCs w:val="22"/>
          <w:lang w:val="el-GR"/>
        </w:rPr>
        <w:t>13 εκατ. επιβάτες</w:t>
      </w:r>
      <w:r w:rsidR="00CD3FC4" w:rsidRPr="009B6427">
        <w:rPr>
          <w:rFonts w:cstheme="minorHAnsi"/>
          <w:color w:val="243587"/>
          <w:sz w:val="22"/>
          <w:szCs w:val="22"/>
          <w:lang w:val="el-GR"/>
        </w:rPr>
        <w:t xml:space="preserve">, </w:t>
      </w:r>
      <w:r w:rsidR="00E60BF1" w:rsidRPr="009B6427">
        <w:rPr>
          <w:rFonts w:cstheme="minorHAnsi"/>
          <w:color w:val="243587"/>
          <w:sz w:val="22"/>
          <w:szCs w:val="22"/>
          <w:lang w:val="el-GR"/>
        </w:rPr>
        <w:t>επίσης</w:t>
      </w:r>
      <w:r w:rsidR="00CD3FC4" w:rsidRPr="009B6427">
        <w:rPr>
          <w:rFonts w:cstheme="minorHAnsi"/>
          <w:color w:val="243587"/>
          <w:sz w:val="22"/>
          <w:szCs w:val="22"/>
          <w:lang w:val="el-GR"/>
        </w:rPr>
        <w:t xml:space="preserve"> νέο </w:t>
      </w:r>
      <w:r w:rsidR="00E60BF1" w:rsidRPr="009B6427">
        <w:rPr>
          <w:rFonts w:cstheme="minorHAnsi"/>
          <w:color w:val="243587"/>
          <w:sz w:val="22"/>
          <w:szCs w:val="22"/>
          <w:lang w:val="el-GR"/>
        </w:rPr>
        <w:t>ιστορικό</w:t>
      </w:r>
      <w:r w:rsidR="00CD3FC4" w:rsidRPr="009B6427">
        <w:rPr>
          <w:rFonts w:cstheme="minorHAnsi"/>
          <w:color w:val="243587"/>
          <w:sz w:val="22"/>
          <w:szCs w:val="22"/>
          <w:lang w:val="el-GR"/>
        </w:rPr>
        <w:t xml:space="preserve"> </w:t>
      </w:r>
      <w:r w:rsidR="00E60BF1" w:rsidRPr="009B6427">
        <w:rPr>
          <w:rFonts w:cstheme="minorHAnsi"/>
          <w:color w:val="243587"/>
          <w:sz w:val="22"/>
          <w:szCs w:val="22"/>
          <w:lang w:val="el-GR"/>
        </w:rPr>
        <w:t>υψηλό</w:t>
      </w:r>
      <w:r w:rsidR="00CD3FC4" w:rsidRPr="009B6427">
        <w:rPr>
          <w:rFonts w:cstheme="minorHAnsi"/>
          <w:color w:val="243587"/>
          <w:sz w:val="22"/>
          <w:szCs w:val="22"/>
          <w:lang w:val="el-GR"/>
        </w:rPr>
        <w:t>,</w:t>
      </w:r>
      <w:r w:rsidR="00E60BF1" w:rsidRPr="009B6427">
        <w:rPr>
          <w:rFonts w:cstheme="minorHAnsi"/>
          <w:color w:val="243587"/>
          <w:sz w:val="22"/>
          <w:szCs w:val="22"/>
          <w:lang w:val="el-GR"/>
        </w:rPr>
        <w:t xml:space="preserve"> </w:t>
      </w:r>
      <w:r w:rsidR="000C51D6" w:rsidRPr="009B6427">
        <w:rPr>
          <w:rFonts w:cstheme="minorHAnsi"/>
          <w:color w:val="243587"/>
          <w:sz w:val="22"/>
          <w:szCs w:val="22"/>
          <w:lang w:val="el-GR"/>
        </w:rPr>
        <w:t>παρουσιάζοντας αύξηση</w:t>
      </w:r>
      <w:r w:rsidR="006D1A15" w:rsidRPr="009B6427">
        <w:rPr>
          <w:rFonts w:cstheme="minorHAnsi"/>
          <w:color w:val="243587"/>
          <w:sz w:val="22"/>
          <w:szCs w:val="22"/>
          <w:lang w:val="el-GR"/>
        </w:rPr>
        <w:t xml:space="preserve"> κατά </w:t>
      </w:r>
      <w:r w:rsidR="0052584C" w:rsidRPr="009B6427">
        <w:rPr>
          <w:rFonts w:cstheme="minorHAnsi"/>
          <w:color w:val="243587"/>
          <w:sz w:val="22"/>
          <w:szCs w:val="22"/>
          <w:lang w:val="el-GR"/>
        </w:rPr>
        <w:t>27</w:t>
      </w:r>
      <w:r w:rsidRPr="009B6427">
        <w:rPr>
          <w:rFonts w:cstheme="minorHAnsi"/>
          <w:color w:val="243587"/>
          <w:sz w:val="22"/>
          <w:szCs w:val="22"/>
          <w:lang w:val="el-GR"/>
        </w:rPr>
        <w:t>% σε σύγκριση με το 2022</w:t>
      </w:r>
      <w:r w:rsidR="00CD3FC4" w:rsidRPr="009B6427">
        <w:rPr>
          <w:rFonts w:cstheme="minorHAnsi"/>
          <w:color w:val="243587"/>
          <w:sz w:val="22"/>
          <w:szCs w:val="22"/>
          <w:lang w:val="el-GR"/>
        </w:rPr>
        <w:t xml:space="preserve"> και </w:t>
      </w:r>
      <w:r w:rsidR="00E60BF1" w:rsidRPr="009B6427">
        <w:rPr>
          <w:rFonts w:cstheme="minorHAnsi"/>
          <w:color w:val="243587"/>
          <w:sz w:val="22"/>
          <w:szCs w:val="22"/>
          <w:lang w:val="el-GR"/>
        </w:rPr>
        <w:t>αποτελώντας</w:t>
      </w:r>
      <w:r w:rsidR="00CD3FC4" w:rsidRPr="009B6427">
        <w:rPr>
          <w:rFonts w:cstheme="minorHAnsi"/>
          <w:color w:val="243587"/>
          <w:sz w:val="22"/>
          <w:szCs w:val="22"/>
          <w:lang w:val="el-GR"/>
        </w:rPr>
        <w:t xml:space="preserve"> για άλλη μια </w:t>
      </w:r>
      <w:r w:rsidR="00E60BF1" w:rsidRPr="009B6427">
        <w:rPr>
          <w:rFonts w:cstheme="minorHAnsi"/>
          <w:color w:val="243587"/>
          <w:sz w:val="22"/>
          <w:szCs w:val="22"/>
          <w:lang w:val="el-GR"/>
        </w:rPr>
        <w:t>φορά</w:t>
      </w:r>
      <w:r w:rsidR="00CD3FC4" w:rsidRPr="009B6427">
        <w:rPr>
          <w:rFonts w:cstheme="minorHAnsi"/>
          <w:color w:val="243587"/>
          <w:sz w:val="22"/>
          <w:szCs w:val="22"/>
          <w:lang w:val="el-GR"/>
        </w:rPr>
        <w:t xml:space="preserve"> τον </w:t>
      </w:r>
      <w:r w:rsidR="00E60BF1" w:rsidRPr="009B6427">
        <w:rPr>
          <w:rFonts w:cstheme="minorHAnsi"/>
          <w:color w:val="243587"/>
          <w:sz w:val="22"/>
          <w:szCs w:val="22"/>
          <w:lang w:val="el-GR"/>
        </w:rPr>
        <w:t>κύριο</w:t>
      </w:r>
      <w:r w:rsidR="00CD3FC4" w:rsidRPr="009B6427">
        <w:rPr>
          <w:rFonts w:cstheme="minorHAnsi"/>
          <w:color w:val="243587"/>
          <w:sz w:val="22"/>
          <w:szCs w:val="22"/>
          <w:lang w:val="el-GR"/>
        </w:rPr>
        <w:t xml:space="preserve"> </w:t>
      </w:r>
      <w:r w:rsidR="00E60BF1" w:rsidRPr="009B6427">
        <w:rPr>
          <w:rFonts w:cstheme="minorHAnsi"/>
          <w:color w:val="243587"/>
          <w:sz w:val="22"/>
          <w:szCs w:val="22"/>
          <w:lang w:val="el-GR"/>
        </w:rPr>
        <w:t>τροφοδότη</w:t>
      </w:r>
      <w:r w:rsidR="00CD3FC4" w:rsidRPr="009B6427">
        <w:rPr>
          <w:rFonts w:cstheme="minorHAnsi"/>
          <w:color w:val="243587"/>
          <w:sz w:val="22"/>
          <w:szCs w:val="22"/>
          <w:lang w:val="el-GR"/>
        </w:rPr>
        <w:t xml:space="preserve"> </w:t>
      </w:r>
      <w:r w:rsidR="00E60BF1" w:rsidRPr="009B6427">
        <w:rPr>
          <w:rFonts w:cstheme="minorHAnsi"/>
          <w:color w:val="243587"/>
          <w:sz w:val="22"/>
          <w:szCs w:val="22"/>
          <w:lang w:val="el-GR"/>
        </w:rPr>
        <w:t>ανάπτυξης</w:t>
      </w:r>
      <w:r w:rsidR="00CD3FC4" w:rsidRPr="009B6427">
        <w:rPr>
          <w:rFonts w:cstheme="minorHAnsi"/>
          <w:color w:val="243587"/>
          <w:sz w:val="22"/>
          <w:szCs w:val="22"/>
          <w:lang w:val="el-GR"/>
        </w:rPr>
        <w:t xml:space="preserve"> του </w:t>
      </w:r>
      <w:r w:rsidR="00E60BF1" w:rsidRPr="009B6427">
        <w:rPr>
          <w:rFonts w:cstheme="minorHAnsi"/>
          <w:color w:val="243587"/>
          <w:sz w:val="22"/>
          <w:szCs w:val="22"/>
          <w:lang w:val="el-GR"/>
        </w:rPr>
        <w:t>μεγαλύτερου</w:t>
      </w:r>
      <w:r w:rsidR="00CD3FC4" w:rsidRPr="009B6427">
        <w:rPr>
          <w:rFonts w:cstheme="minorHAnsi"/>
          <w:color w:val="243587"/>
          <w:sz w:val="22"/>
          <w:szCs w:val="22"/>
          <w:lang w:val="el-GR"/>
        </w:rPr>
        <w:t xml:space="preserve"> </w:t>
      </w:r>
      <w:r w:rsidR="00E60BF1" w:rsidRPr="009B6427">
        <w:rPr>
          <w:rFonts w:cstheme="minorHAnsi"/>
          <w:color w:val="243587"/>
          <w:sz w:val="22"/>
          <w:szCs w:val="22"/>
          <w:lang w:val="el-GR"/>
        </w:rPr>
        <w:t>αεροδρομίου</w:t>
      </w:r>
      <w:r w:rsidR="00CD3FC4" w:rsidRPr="009B6427">
        <w:rPr>
          <w:rFonts w:cstheme="minorHAnsi"/>
          <w:color w:val="243587"/>
          <w:sz w:val="22"/>
          <w:szCs w:val="22"/>
          <w:lang w:val="el-GR"/>
        </w:rPr>
        <w:t xml:space="preserve"> της </w:t>
      </w:r>
      <w:r w:rsidR="00E60BF1" w:rsidRPr="009B6427">
        <w:rPr>
          <w:rFonts w:cstheme="minorHAnsi"/>
          <w:color w:val="243587"/>
          <w:sz w:val="22"/>
          <w:szCs w:val="22"/>
          <w:lang w:val="el-GR"/>
        </w:rPr>
        <w:t>χώρας</w:t>
      </w:r>
      <w:r w:rsidR="00CD3FC4" w:rsidRPr="009B6427">
        <w:rPr>
          <w:rFonts w:cstheme="minorHAnsi"/>
          <w:color w:val="243587"/>
          <w:sz w:val="22"/>
          <w:szCs w:val="22"/>
          <w:lang w:val="el-GR"/>
        </w:rPr>
        <w:t xml:space="preserve">. </w:t>
      </w:r>
      <w:r w:rsidRPr="009B6427">
        <w:rPr>
          <w:rFonts w:cstheme="minorHAnsi"/>
          <w:color w:val="243587"/>
          <w:sz w:val="22"/>
          <w:szCs w:val="22"/>
          <w:lang w:val="el-GR"/>
        </w:rPr>
        <w:t xml:space="preserve">Πιο συγκεκριμένα, </w:t>
      </w:r>
      <w:r w:rsidR="00294FE5" w:rsidRPr="009B6427">
        <w:rPr>
          <w:rFonts w:cstheme="minorHAnsi"/>
          <w:color w:val="243587"/>
          <w:sz w:val="22"/>
          <w:szCs w:val="22"/>
          <w:lang w:val="el-GR"/>
        </w:rPr>
        <w:t xml:space="preserve">η επιβατική κίνηση στο δίκτυο εσωτερικού ανήλθε σε </w:t>
      </w:r>
      <w:r w:rsidR="0052584C" w:rsidRPr="009B6427">
        <w:rPr>
          <w:rFonts w:cstheme="minorHAnsi"/>
          <w:color w:val="243587"/>
          <w:sz w:val="22"/>
          <w:szCs w:val="22"/>
          <w:lang w:val="el-GR"/>
        </w:rPr>
        <w:t>5,7 εκατ.</w:t>
      </w:r>
      <w:r w:rsidR="00294FE5" w:rsidRPr="009B6427">
        <w:rPr>
          <w:rFonts w:cstheme="minorHAnsi"/>
          <w:color w:val="243587"/>
          <w:sz w:val="22"/>
          <w:szCs w:val="22"/>
          <w:lang w:val="el-GR"/>
        </w:rPr>
        <w:t xml:space="preserve"> αυξημένη κατά </w:t>
      </w:r>
      <w:r w:rsidR="0052584C" w:rsidRPr="009B6427">
        <w:rPr>
          <w:rFonts w:cstheme="minorHAnsi"/>
          <w:color w:val="243587"/>
          <w:sz w:val="22"/>
          <w:szCs w:val="22"/>
          <w:lang w:val="el-GR"/>
        </w:rPr>
        <w:t>22</w:t>
      </w:r>
      <w:r w:rsidR="00294FE5" w:rsidRPr="009B6427">
        <w:rPr>
          <w:rFonts w:cstheme="minorHAnsi"/>
          <w:color w:val="243587"/>
          <w:sz w:val="22"/>
          <w:szCs w:val="22"/>
          <w:lang w:val="el-GR"/>
        </w:rPr>
        <w:t>% συγκριτικά με το προηγούμενο έτος, ενώ η επιβατική κίνηση στο δίκτυο εξωτερικού ήταν επίσης ενισχυμένη κατά 3</w:t>
      </w:r>
      <w:r w:rsidR="0052584C" w:rsidRPr="009B6427">
        <w:rPr>
          <w:rFonts w:cstheme="minorHAnsi"/>
          <w:color w:val="243587"/>
          <w:sz w:val="22"/>
          <w:szCs w:val="22"/>
          <w:lang w:val="el-GR"/>
        </w:rPr>
        <w:t>2</w:t>
      </w:r>
      <w:r w:rsidR="00294FE5" w:rsidRPr="009B6427">
        <w:rPr>
          <w:rFonts w:cstheme="minorHAnsi"/>
          <w:color w:val="243587"/>
          <w:sz w:val="22"/>
          <w:szCs w:val="22"/>
          <w:lang w:val="el-GR"/>
        </w:rPr>
        <w:t>%</w:t>
      </w:r>
      <w:r w:rsidR="00331C3C" w:rsidRPr="009B6427">
        <w:rPr>
          <w:rFonts w:cstheme="minorHAnsi"/>
          <w:color w:val="243587"/>
          <w:sz w:val="22"/>
          <w:szCs w:val="22"/>
          <w:lang w:val="el-GR"/>
        </w:rPr>
        <w:t>, μεταφέροντας 7,2 εκατ. επιβάτες.</w:t>
      </w:r>
      <w:r w:rsidR="00294FE5" w:rsidRPr="009B6427">
        <w:rPr>
          <w:rFonts w:cstheme="minorHAnsi"/>
          <w:color w:val="243587"/>
          <w:sz w:val="22"/>
          <w:szCs w:val="22"/>
          <w:lang w:val="el-GR"/>
        </w:rPr>
        <w:t xml:space="preserve">  </w:t>
      </w:r>
      <w:r w:rsidR="004C36ED" w:rsidRPr="009B6427">
        <w:rPr>
          <w:rFonts w:cstheme="minorHAnsi"/>
          <w:color w:val="243587"/>
          <w:sz w:val="22"/>
          <w:szCs w:val="22"/>
          <w:lang w:val="el-GR"/>
        </w:rPr>
        <w:t>Αντίστοιχη</w:t>
      </w:r>
      <w:r w:rsidR="00D90440" w:rsidRPr="009B6427">
        <w:rPr>
          <w:rFonts w:cstheme="minorHAnsi"/>
          <w:color w:val="243587"/>
          <w:sz w:val="22"/>
          <w:szCs w:val="22"/>
          <w:lang w:val="el-GR"/>
        </w:rPr>
        <w:t xml:space="preserve"> </w:t>
      </w:r>
      <w:r w:rsidR="00331C3C" w:rsidRPr="009B6427">
        <w:rPr>
          <w:rFonts w:cstheme="minorHAnsi"/>
          <w:color w:val="243587"/>
          <w:sz w:val="22"/>
          <w:szCs w:val="22"/>
          <w:lang w:val="el-GR"/>
        </w:rPr>
        <w:t>ενίσχυση</w:t>
      </w:r>
      <w:r w:rsidR="00D90440" w:rsidRPr="009B6427">
        <w:rPr>
          <w:rFonts w:cstheme="minorHAnsi"/>
          <w:color w:val="243587"/>
          <w:sz w:val="22"/>
          <w:szCs w:val="22"/>
          <w:lang w:val="el-GR"/>
        </w:rPr>
        <w:t xml:space="preserve"> </w:t>
      </w:r>
      <w:r w:rsidR="00294FE5" w:rsidRPr="009B6427">
        <w:rPr>
          <w:rFonts w:cstheme="minorHAnsi"/>
          <w:color w:val="243587"/>
          <w:sz w:val="22"/>
          <w:szCs w:val="22"/>
          <w:lang w:val="el-GR"/>
        </w:rPr>
        <w:t xml:space="preserve">της τάξεως του </w:t>
      </w:r>
      <w:r w:rsidR="0052584C" w:rsidRPr="009B6427">
        <w:rPr>
          <w:rFonts w:cstheme="minorHAnsi"/>
          <w:color w:val="243587"/>
          <w:sz w:val="22"/>
          <w:szCs w:val="22"/>
          <w:lang w:val="el-GR"/>
        </w:rPr>
        <w:t>28</w:t>
      </w:r>
      <w:r w:rsidR="00294FE5" w:rsidRPr="009B6427">
        <w:rPr>
          <w:rFonts w:cstheme="minorHAnsi"/>
          <w:color w:val="243587"/>
          <w:sz w:val="22"/>
          <w:szCs w:val="22"/>
          <w:lang w:val="el-GR"/>
        </w:rPr>
        <w:t xml:space="preserve">% </w:t>
      </w:r>
      <w:r w:rsidR="00D90440" w:rsidRPr="009B6427">
        <w:rPr>
          <w:rFonts w:cstheme="minorHAnsi"/>
          <w:color w:val="243587"/>
          <w:sz w:val="22"/>
          <w:szCs w:val="22"/>
          <w:lang w:val="el-GR"/>
        </w:rPr>
        <w:t xml:space="preserve">παρουσίασε η επιβατική κίνηση </w:t>
      </w:r>
      <w:r w:rsidR="00294FE5" w:rsidRPr="009B6427">
        <w:rPr>
          <w:rFonts w:cstheme="minorHAnsi"/>
          <w:color w:val="243587"/>
          <w:sz w:val="22"/>
          <w:szCs w:val="22"/>
          <w:lang w:val="el-GR"/>
        </w:rPr>
        <w:t xml:space="preserve">και </w:t>
      </w:r>
      <w:r w:rsidR="00D90440" w:rsidRPr="009B6427">
        <w:rPr>
          <w:rFonts w:cstheme="minorHAnsi"/>
          <w:color w:val="243587"/>
          <w:sz w:val="22"/>
          <w:szCs w:val="22"/>
          <w:lang w:val="el-GR"/>
        </w:rPr>
        <w:t>από το αεροδρόμιο «Μακεδονία» της Θεσσαλονίκης,</w:t>
      </w:r>
      <w:r w:rsidR="00294FE5" w:rsidRPr="009B6427">
        <w:rPr>
          <w:rFonts w:cstheme="minorHAnsi"/>
          <w:color w:val="243587"/>
          <w:sz w:val="22"/>
          <w:szCs w:val="22"/>
          <w:lang w:val="el-GR"/>
        </w:rPr>
        <w:t xml:space="preserve"> </w:t>
      </w:r>
      <w:r w:rsidR="00D90440" w:rsidRPr="009B6427">
        <w:rPr>
          <w:rFonts w:cstheme="minorHAnsi"/>
          <w:color w:val="243587"/>
          <w:sz w:val="22"/>
          <w:szCs w:val="22"/>
          <w:lang w:val="el-GR"/>
        </w:rPr>
        <w:t xml:space="preserve"> </w:t>
      </w:r>
      <w:r w:rsidR="00331C3C" w:rsidRPr="009B6427">
        <w:rPr>
          <w:rFonts w:cstheme="minorHAnsi"/>
          <w:color w:val="243587"/>
          <w:sz w:val="22"/>
          <w:szCs w:val="22"/>
          <w:lang w:val="el-GR"/>
        </w:rPr>
        <w:t xml:space="preserve">με την επιβατική κίνηση στο δίκτυο εξωτερικού να σημειώνει </w:t>
      </w:r>
      <w:r w:rsidR="00E61FC3" w:rsidRPr="009B6427">
        <w:rPr>
          <w:rFonts w:cstheme="minorHAnsi"/>
          <w:color w:val="243587"/>
          <w:sz w:val="22"/>
          <w:szCs w:val="22"/>
          <w:lang w:val="el-GR"/>
        </w:rPr>
        <w:t>αύξηση</w:t>
      </w:r>
      <w:r w:rsidR="00D90440" w:rsidRPr="009B6427">
        <w:rPr>
          <w:rFonts w:cstheme="minorHAnsi"/>
          <w:color w:val="243587"/>
          <w:sz w:val="22"/>
          <w:szCs w:val="22"/>
          <w:lang w:val="el-GR"/>
        </w:rPr>
        <w:t xml:space="preserve"> κατά 33% συγκριτικά με το </w:t>
      </w:r>
      <w:r w:rsidR="00E61FC3" w:rsidRPr="009B6427">
        <w:rPr>
          <w:rFonts w:cstheme="minorHAnsi"/>
          <w:color w:val="243587"/>
          <w:sz w:val="22"/>
          <w:szCs w:val="22"/>
          <w:lang w:val="el-GR"/>
        </w:rPr>
        <w:t>2022</w:t>
      </w:r>
      <w:r w:rsidR="00A07849" w:rsidRPr="009B6427">
        <w:rPr>
          <w:rFonts w:cstheme="minorHAnsi"/>
          <w:color w:val="243587"/>
          <w:sz w:val="22"/>
          <w:szCs w:val="22"/>
          <w:lang w:val="el-GR"/>
        </w:rPr>
        <w:t>,</w:t>
      </w:r>
      <w:r w:rsidR="0026027B" w:rsidRPr="009B6427">
        <w:rPr>
          <w:rFonts w:cstheme="minorHAnsi"/>
          <w:color w:val="243587"/>
          <w:sz w:val="22"/>
          <w:szCs w:val="22"/>
          <w:lang w:val="el-GR"/>
        </w:rPr>
        <w:t xml:space="preserve"> απόρροια της συστηματικής επένδυσης της εταιρ</w:t>
      </w:r>
      <w:r w:rsidR="00347C2B" w:rsidRPr="009B6427">
        <w:rPr>
          <w:rFonts w:cstheme="minorHAnsi"/>
          <w:color w:val="243587"/>
          <w:sz w:val="22"/>
          <w:szCs w:val="22"/>
          <w:lang w:val="el-GR"/>
        </w:rPr>
        <w:t>ε</w:t>
      </w:r>
      <w:r w:rsidR="0026027B" w:rsidRPr="009B6427">
        <w:rPr>
          <w:rFonts w:cstheme="minorHAnsi"/>
          <w:color w:val="243587"/>
          <w:sz w:val="22"/>
          <w:szCs w:val="22"/>
          <w:lang w:val="el-GR"/>
        </w:rPr>
        <w:t>ίας σε προσφερόμενες θέσεις</w:t>
      </w:r>
      <w:r w:rsidR="00AB6C04" w:rsidRPr="009B6427">
        <w:rPr>
          <w:rFonts w:cstheme="minorHAnsi"/>
          <w:color w:val="243587"/>
          <w:sz w:val="22"/>
          <w:szCs w:val="22"/>
          <w:lang w:val="el-GR"/>
        </w:rPr>
        <w:t>,</w:t>
      </w:r>
      <w:r w:rsidR="0026027B" w:rsidRPr="009B6427">
        <w:rPr>
          <w:rFonts w:cstheme="minorHAnsi"/>
          <w:color w:val="243587"/>
          <w:sz w:val="22"/>
          <w:szCs w:val="22"/>
          <w:lang w:val="el-GR"/>
        </w:rPr>
        <w:t xml:space="preserve"> </w:t>
      </w:r>
      <w:r w:rsidR="00A07849" w:rsidRPr="009B6427">
        <w:rPr>
          <w:rFonts w:cstheme="minorHAnsi"/>
          <w:color w:val="243587"/>
          <w:sz w:val="22"/>
          <w:szCs w:val="22"/>
          <w:lang w:val="el-GR"/>
        </w:rPr>
        <w:t xml:space="preserve">αλλά </w:t>
      </w:r>
      <w:r w:rsidR="0026027B" w:rsidRPr="009B6427">
        <w:rPr>
          <w:rFonts w:cstheme="minorHAnsi"/>
          <w:color w:val="243587"/>
          <w:sz w:val="22"/>
          <w:szCs w:val="22"/>
          <w:lang w:val="el-GR"/>
        </w:rPr>
        <w:t xml:space="preserve">και νέους προορισμούς </w:t>
      </w:r>
      <w:r w:rsidR="00E85364" w:rsidRPr="009B6427">
        <w:rPr>
          <w:rFonts w:cstheme="minorHAnsi"/>
          <w:color w:val="243587"/>
          <w:sz w:val="22"/>
          <w:szCs w:val="22"/>
          <w:lang w:val="el-GR"/>
        </w:rPr>
        <w:t xml:space="preserve">εξωτερικού </w:t>
      </w:r>
      <w:r w:rsidR="00A07849" w:rsidRPr="009B6427">
        <w:rPr>
          <w:rFonts w:cstheme="minorHAnsi"/>
          <w:color w:val="243587"/>
          <w:sz w:val="22"/>
          <w:szCs w:val="22"/>
          <w:lang w:val="el-GR"/>
        </w:rPr>
        <w:t>όλο το χρόνο</w:t>
      </w:r>
      <w:r w:rsidR="00D90440" w:rsidRPr="009B6427">
        <w:rPr>
          <w:rFonts w:cstheme="minorHAnsi"/>
          <w:color w:val="243587"/>
          <w:sz w:val="22"/>
          <w:szCs w:val="22"/>
          <w:lang w:val="el-GR"/>
        </w:rPr>
        <w:t>.</w:t>
      </w:r>
      <w:r w:rsidR="00D90440">
        <w:rPr>
          <w:rFonts w:cstheme="minorHAnsi"/>
          <w:color w:val="243587"/>
          <w:sz w:val="22"/>
          <w:szCs w:val="22"/>
          <w:lang w:val="el-GR"/>
        </w:rPr>
        <w:t xml:space="preserve"> </w:t>
      </w:r>
    </w:p>
    <w:p w14:paraId="7C0D0145" w14:textId="5394C041" w:rsidR="0078493F" w:rsidRPr="009812F0" w:rsidRDefault="00E85364" w:rsidP="009B7495">
      <w:pPr>
        <w:ind w:right="5"/>
        <w:jc w:val="both"/>
        <w:rPr>
          <w:rFonts w:cstheme="minorHAnsi"/>
          <w:i/>
          <w:iCs/>
          <w:color w:val="243587"/>
          <w:sz w:val="22"/>
          <w:szCs w:val="22"/>
          <w:lang w:val="el-GR"/>
        </w:rPr>
      </w:pPr>
      <w:r>
        <w:rPr>
          <w:rFonts w:cstheme="minorHAnsi"/>
          <w:color w:val="243587"/>
          <w:sz w:val="22"/>
          <w:szCs w:val="22"/>
          <w:lang w:val="el-GR"/>
        </w:rPr>
        <w:t xml:space="preserve">Ο κ. Δημήτρης Γερογιάννης, Διευθύνων Σύμβουλος, ανέφερε σχετικά: </w:t>
      </w:r>
      <w:r w:rsidR="00A17BDD">
        <w:rPr>
          <w:rFonts w:cstheme="minorHAnsi"/>
          <w:color w:val="243587"/>
          <w:sz w:val="22"/>
          <w:szCs w:val="22"/>
          <w:lang w:val="el-GR"/>
        </w:rPr>
        <w:t>«</w:t>
      </w:r>
      <w:r w:rsidR="00A17BDD" w:rsidRPr="00AB6C04">
        <w:rPr>
          <w:rFonts w:cstheme="minorHAnsi"/>
          <w:i/>
          <w:iCs/>
          <w:color w:val="243587"/>
          <w:sz w:val="22"/>
          <w:szCs w:val="22"/>
          <w:lang w:val="el-GR"/>
        </w:rPr>
        <w:t>Το 2023 ήταν μια πολύ καλή χρονιά για την AEGEAN και για τον ελληνικό τουρισμό. Θα συνεχίσουμε να εργαζόμαστε με συνέπεια για τη διεύρυνση των επιλογών των επιβατών μας, την ποιοτική αναβάθμιση της ταξιδιωτικής εμπειρίας</w:t>
      </w:r>
      <w:r w:rsidR="00E60BF1">
        <w:rPr>
          <w:rFonts w:cstheme="minorHAnsi"/>
          <w:i/>
          <w:iCs/>
          <w:color w:val="243587"/>
          <w:sz w:val="22"/>
          <w:szCs w:val="22"/>
          <w:lang w:val="el-GR"/>
        </w:rPr>
        <w:t>,</w:t>
      </w:r>
      <w:r w:rsidR="00A17BDD" w:rsidRPr="00AB6C04">
        <w:rPr>
          <w:rFonts w:cstheme="minorHAnsi"/>
          <w:i/>
          <w:iCs/>
          <w:color w:val="243587"/>
          <w:sz w:val="22"/>
          <w:szCs w:val="22"/>
          <w:lang w:val="el-GR"/>
        </w:rPr>
        <w:t xml:space="preserve"> αλλά και τη</w:t>
      </w:r>
      <w:r w:rsidR="00347C2B" w:rsidRPr="00AB6C04">
        <w:rPr>
          <w:rFonts w:cstheme="minorHAnsi"/>
          <w:i/>
          <w:iCs/>
          <w:color w:val="243587"/>
          <w:sz w:val="22"/>
          <w:szCs w:val="22"/>
          <w:lang w:val="el-GR"/>
        </w:rPr>
        <w:t xml:space="preserve"> διευκόλυνση</w:t>
      </w:r>
      <w:r w:rsidR="00A17BDD" w:rsidRPr="00AB6C04">
        <w:rPr>
          <w:rFonts w:cstheme="minorHAnsi"/>
          <w:i/>
          <w:iCs/>
          <w:color w:val="243587"/>
          <w:sz w:val="22"/>
          <w:szCs w:val="22"/>
          <w:lang w:val="el-GR"/>
        </w:rPr>
        <w:t xml:space="preserve"> </w:t>
      </w:r>
      <w:r w:rsidR="00347C2B" w:rsidRPr="00AB6C04">
        <w:rPr>
          <w:rFonts w:cstheme="minorHAnsi"/>
          <w:i/>
          <w:iCs/>
          <w:color w:val="243587"/>
          <w:sz w:val="22"/>
          <w:szCs w:val="22"/>
          <w:lang w:val="el-GR"/>
        </w:rPr>
        <w:t xml:space="preserve">της </w:t>
      </w:r>
      <w:r w:rsidR="00A17BDD" w:rsidRPr="00AB6C04">
        <w:rPr>
          <w:rFonts w:cstheme="minorHAnsi"/>
          <w:i/>
          <w:iCs/>
          <w:color w:val="243587"/>
          <w:sz w:val="22"/>
          <w:szCs w:val="22"/>
          <w:lang w:val="el-GR"/>
        </w:rPr>
        <w:t>διάχυση</w:t>
      </w:r>
      <w:r w:rsidR="00347C2B" w:rsidRPr="00AB6C04">
        <w:rPr>
          <w:rFonts w:cstheme="minorHAnsi"/>
          <w:i/>
          <w:iCs/>
          <w:color w:val="243587"/>
          <w:sz w:val="22"/>
          <w:szCs w:val="22"/>
          <w:lang w:val="el-GR"/>
        </w:rPr>
        <w:t>ς</w:t>
      </w:r>
      <w:r w:rsidR="00A17BDD" w:rsidRPr="00AB6C04">
        <w:rPr>
          <w:rFonts w:cstheme="minorHAnsi"/>
          <w:i/>
          <w:iCs/>
          <w:color w:val="243587"/>
          <w:sz w:val="22"/>
          <w:szCs w:val="22"/>
          <w:lang w:val="el-GR"/>
        </w:rPr>
        <w:t xml:space="preserve"> του </w:t>
      </w:r>
      <w:r w:rsidR="00A17BDD" w:rsidRPr="00AB6C04">
        <w:rPr>
          <w:rFonts w:cstheme="minorHAnsi"/>
          <w:i/>
          <w:iCs/>
          <w:color w:val="243587"/>
          <w:sz w:val="22"/>
          <w:szCs w:val="22"/>
          <w:lang w:val="el-GR"/>
        </w:rPr>
        <w:lastRenderedPageBreak/>
        <w:t>τουριστικού προϊόντος</w:t>
      </w:r>
      <w:r w:rsidR="00E60BF1">
        <w:rPr>
          <w:rFonts w:cstheme="minorHAnsi"/>
          <w:i/>
          <w:iCs/>
          <w:color w:val="243587"/>
          <w:sz w:val="22"/>
          <w:szCs w:val="22"/>
          <w:lang w:val="el-GR"/>
        </w:rPr>
        <w:t>,</w:t>
      </w:r>
      <w:r w:rsidR="00347C2B" w:rsidRPr="00AB6C04">
        <w:rPr>
          <w:rFonts w:cstheme="minorHAnsi"/>
          <w:i/>
          <w:iCs/>
          <w:color w:val="243587"/>
          <w:sz w:val="22"/>
          <w:szCs w:val="22"/>
          <w:lang w:val="el-GR"/>
        </w:rPr>
        <w:t xml:space="preserve"> ώστε η δυναμική της εταιρείας και της χώρας να διατηρηθεί και τη νέα χρονιά, παρά τις προκλήσεις</w:t>
      </w:r>
      <w:r w:rsidR="00347C2B">
        <w:rPr>
          <w:rFonts w:cstheme="minorHAnsi"/>
          <w:color w:val="243587"/>
          <w:sz w:val="22"/>
          <w:szCs w:val="22"/>
          <w:lang w:val="el-GR"/>
        </w:rPr>
        <w:t xml:space="preserve">». </w:t>
      </w:r>
      <w:bookmarkStart w:id="0" w:name="_Hlk155773303"/>
    </w:p>
    <w:p w14:paraId="3E478A29" w14:textId="6D26B014" w:rsidR="009331BC" w:rsidRDefault="0008335A" w:rsidP="001F1C1A">
      <w:pPr>
        <w:tabs>
          <w:tab w:val="left" w:pos="2474"/>
        </w:tabs>
        <w:rPr>
          <w:i/>
          <w:iCs/>
          <w:color w:val="243587"/>
          <w:sz w:val="22"/>
          <w:szCs w:val="22"/>
          <w:lang w:val="el-GR"/>
        </w:rPr>
      </w:pPr>
      <w:r>
        <w:rPr>
          <w:i/>
          <w:iCs/>
          <w:color w:val="243587"/>
          <w:sz w:val="22"/>
          <w:szCs w:val="22"/>
          <w:lang w:val="el-GR"/>
        </w:rPr>
        <w:tab/>
      </w:r>
    </w:p>
    <w:p w14:paraId="13B6BE67" w14:textId="24EA1B1A" w:rsidR="009331BC" w:rsidRDefault="009331BC" w:rsidP="0078493F">
      <w:pPr>
        <w:rPr>
          <w:i/>
          <w:iCs/>
          <w:color w:val="243587"/>
          <w:sz w:val="22"/>
          <w:szCs w:val="22"/>
          <w:lang w:val="el-GR"/>
        </w:rPr>
      </w:pPr>
    </w:p>
    <w:p w14:paraId="441E7290" w14:textId="0B4C5D3B" w:rsidR="009331BC" w:rsidRDefault="009331BC" w:rsidP="0078493F">
      <w:pPr>
        <w:rPr>
          <w:i/>
          <w:iCs/>
          <w:color w:val="243587"/>
          <w:sz w:val="22"/>
          <w:szCs w:val="22"/>
          <w:lang w:val="el-GR"/>
        </w:rPr>
      </w:pPr>
    </w:p>
    <w:p w14:paraId="0BA14454" w14:textId="0621BC28" w:rsidR="009331BC" w:rsidRDefault="009331BC" w:rsidP="0078493F">
      <w:pPr>
        <w:rPr>
          <w:i/>
          <w:iCs/>
          <w:color w:val="243587"/>
          <w:sz w:val="22"/>
          <w:szCs w:val="22"/>
          <w:lang w:val="el-GR"/>
        </w:rPr>
      </w:pPr>
    </w:p>
    <w:bookmarkEnd w:id="0"/>
    <w:p w14:paraId="39BF6C3E" w14:textId="50B129C8" w:rsidR="009331BC" w:rsidRDefault="009331BC" w:rsidP="0078493F">
      <w:pPr>
        <w:rPr>
          <w:i/>
          <w:iCs/>
          <w:color w:val="243587"/>
          <w:sz w:val="22"/>
          <w:szCs w:val="22"/>
          <w:lang w:val="el-GR"/>
        </w:rPr>
      </w:pPr>
    </w:p>
    <w:tbl>
      <w:tblPr>
        <w:tblpPr w:leftFromText="180" w:rightFromText="180" w:vertAnchor="page" w:horzAnchor="margin" w:tblpY="3766"/>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2A0" w:firstRow="1" w:lastRow="0" w:firstColumn="1" w:lastColumn="0" w:noHBand="1" w:noVBand="0"/>
      </w:tblPr>
      <w:tblGrid>
        <w:gridCol w:w="3195"/>
        <w:gridCol w:w="2322"/>
        <w:gridCol w:w="2285"/>
        <w:gridCol w:w="2411"/>
      </w:tblGrid>
      <w:tr w:rsidR="009331BC" w:rsidRPr="009331BC" w14:paraId="6399510A" w14:textId="77777777" w:rsidTr="001F1C1A">
        <w:trPr>
          <w:trHeight w:val="690"/>
        </w:trPr>
        <w:tc>
          <w:tcPr>
            <w:tcW w:w="3195" w:type="dxa"/>
            <w:shd w:val="clear" w:color="auto" w:fill="002677"/>
            <w:tcMar>
              <w:top w:w="13" w:type="dxa"/>
              <w:left w:w="97" w:type="dxa"/>
              <w:bottom w:w="0" w:type="dxa"/>
              <w:right w:w="97" w:type="dxa"/>
            </w:tcMar>
            <w:vAlign w:val="bottom"/>
          </w:tcPr>
          <w:p w14:paraId="3C230E38" w14:textId="77777777" w:rsidR="009331BC" w:rsidRPr="009331BC" w:rsidRDefault="009331BC" w:rsidP="00E60BF1">
            <w:pPr>
              <w:spacing w:after="160" w:line="259" w:lineRule="auto"/>
              <w:jc w:val="center"/>
              <w:rPr>
                <w:rFonts w:ascii="Calibri" w:eastAsia="Calibri" w:hAnsi="Calibri" w:cs="Calibri"/>
                <w:color w:val="FFFFFF"/>
                <w:kern w:val="24"/>
                <w:sz w:val="22"/>
                <w:szCs w:val="22"/>
                <w:lang w:val="el-GR"/>
              </w:rPr>
            </w:pPr>
            <w:r w:rsidRPr="009331BC">
              <w:rPr>
                <w:rFonts w:ascii="Calibri" w:eastAsia="Calibri" w:hAnsi="Calibri" w:cs="Calibri"/>
                <w:sz w:val="22"/>
                <w:szCs w:val="22"/>
                <w:lang w:val="el-GR"/>
              </w:rPr>
              <w:br w:type="page"/>
            </w:r>
          </w:p>
        </w:tc>
        <w:tc>
          <w:tcPr>
            <w:tcW w:w="2322" w:type="dxa"/>
            <w:shd w:val="clear" w:color="auto" w:fill="002677"/>
            <w:tcMar>
              <w:top w:w="13" w:type="dxa"/>
              <w:left w:w="97" w:type="dxa"/>
              <w:bottom w:w="0" w:type="dxa"/>
              <w:right w:w="97" w:type="dxa"/>
            </w:tcMar>
            <w:vAlign w:val="bottom"/>
          </w:tcPr>
          <w:p w14:paraId="27E54892" w14:textId="77777777" w:rsidR="009331BC" w:rsidRPr="009331BC" w:rsidRDefault="009331BC" w:rsidP="00E60BF1">
            <w:pPr>
              <w:spacing w:after="160" w:line="259" w:lineRule="auto"/>
              <w:jc w:val="center"/>
              <w:rPr>
                <w:rFonts w:ascii="Calibri" w:eastAsia="Calibri" w:hAnsi="Calibri" w:cs="Calibri"/>
                <w:b/>
                <w:bCs/>
                <w:color w:val="FFFFFF"/>
                <w:sz w:val="22"/>
                <w:szCs w:val="22"/>
                <w:lang w:val="el-GR"/>
              </w:rPr>
            </w:pPr>
          </w:p>
          <w:p w14:paraId="221DE32E" w14:textId="77777777" w:rsidR="009331BC" w:rsidRPr="009331BC" w:rsidRDefault="009331BC" w:rsidP="00E60BF1">
            <w:pPr>
              <w:spacing w:after="160" w:line="259" w:lineRule="auto"/>
              <w:jc w:val="center"/>
              <w:rPr>
                <w:rFonts w:ascii="Calibri" w:eastAsia="Calibri" w:hAnsi="Calibri" w:cs="Calibri"/>
                <w:b/>
                <w:bCs/>
                <w:color w:val="FFFFFF"/>
                <w:sz w:val="22"/>
                <w:szCs w:val="22"/>
                <w:lang w:val="el-GR"/>
              </w:rPr>
            </w:pPr>
            <w:r w:rsidRPr="009331BC">
              <w:rPr>
                <w:rFonts w:ascii="Calibri" w:eastAsia="Calibri" w:hAnsi="Calibri" w:cs="Calibri"/>
                <w:b/>
                <w:bCs/>
                <w:color w:val="FFFFFF"/>
                <w:sz w:val="22"/>
                <w:szCs w:val="22"/>
                <w:lang w:val="el-GR"/>
              </w:rPr>
              <w:t>2023</w:t>
            </w:r>
          </w:p>
          <w:p w14:paraId="6FA122E4" w14:textId="77777777" w:rsidR="009331BC" w:rsidRPr="009331BC" w:rsidRDefault="009331BC" w:rsidP="00E60BF1">
            <w:pPr>
              <w:spacing w:after="160" w:line="259" w:lineRule="auto"/>
              <w:jc w:val="center"/>
              <w:rPr>
                <w:rFonts w:ascii="Calibri" w:eastAsia="Calibri" w:hAnsi="Calibri" w:cs="Calibri"/>
                <w:b/>
                <w:bCs/>
                <w:color w:val="FFFFFF"/>
                <w:sz w:val="22"/>
                <w:szCs w:val="22"/>
                <w:lang w:val="el-GR"/>
              </w:rPr>
            </w:pPr>
          </w:p>
        </w:tc>
        <w:tc>
          <w:tcPr>
            <w:tcW w:w="2285" w:type="dxa"/>
            <w:shd w:val="clear" w:color="auto" w:fill="002677"/>
          </w:tcPr>
          <w:p w14:paraId="13C4741A" w14:textId="77777777" w:rsidR="009331BC" w:rsidRPr="009331BC" w:rsidRDefault="009331BC" w:rsidP="00E60BF1">
            <w:pPr>
              <w:spacing w:after="160" w:line="259" w:lineRule="auto"/>
              <w:jc w:val="center"/>
              <w:rPr>
                <w:rFonts w:ascii="Calibri" w:eastAsia="Calibri" w:hAnsi="Calibri" w:cs="Calibri"/>
                <w:b/>
                <w:bCs/>
                <w:color w:val="FFFFFF"/>
                <w:sz w:val="22"/>
                <w:szCs w:val="22"/>
                <w:lang w:val="el-GR"/>
              </w:rPr>
            </w:pPr>
          </w:p>
          <w:p w14:paraId="72A6B2E1" w14:textId="77777777" w:rsidR="009331BC" w:rsidRPr="009331BC" w:rsidRDefault="009331BC" w:rsidP="00E60BF1">
            <w:pPr>
              <w:spacing w:after="160" w:line="259" w:lineRule="auto"/>
              <w:jc w:val="center"/>
              <w:rPr>
                <w:rFonts w:ascii="Calibri" w:eastAsia="Calibri" w:hAnsi="Calibri" w:cs="Calibri"/>
                <w:b/>
                <w:bCs/>
                <w:color w:val="FFFFFF"/>
                <w:sz w:val="22"/>
                <w:szCs w:val="22"/>
                <w:lang w:val="el-GR"/>
              </w:rPr>
            </w:pPr>
            <w:r w:rsidRPr="009331BC">
              <w:rPr>
                <w:rFonts w:ascii="Calibri" w:eastAsia="Calibri" w:hAnsi="Calibri" w:cs="Calibri"/>
                <w:b/>
                <w:bCs/>
                <w:color w:val="FFFFFF"/>
                <w:sz w:val="22"/>
                <w:szCs w:val="22"/>
                <w:lang w:val="el-GR"/>
              </w:rPr>
              <w:t>2022</w:t>
            </w:r>
          </w:p>
        </w:tc>
        <w:tc>
          <w:tcPr>
            <w:tcW w:w="2410" w:type="dxa"/>
            <w:shd w:val="clear" w:color="auto" w:fill="002677"/>
            <w:tcMar>
              <w:top w:w="13" w:type="dxa"/>
              <w:left w:w="97" w:type="dxa"/>
              <w:bottom w:w="0" w:type="dxa"/>
              <w:right w:w="97" w:type="dxa"/>
            </w:tcMar>
            <w:vAlign w:val="bottom"/>
          </w:tcPr>
          <w:p w14:paraId="00294CBD" w14:textId="77777777" w:rsidR="009331BC" w:rsidRPr="009331BC" w:rsidRDefault="009331BC" w:rsidP="00E60BF1">
            <w:pPr>
              <w:spacing w:after="160" w:line="259" w:lineRule="auto"/>
              <w:jc w:val="center"/>
              <w:rPr>
                <w:rFonts w:ascii="Calibri" w:eastAsia="Calibri" w:hAnsi="Calibri" w:cs="Calibri"/>
                <w:b/>
                <w:bCs/>
                <w:color w:val="FFFFFF"/>
                <w:sz w:val="22"/>
                <w:szCs w:val="22"/>
                <w:lang w:val="en-US"/>
              </w:rPr>
            </w:pPr>
            <w:r w:rsidRPr="009331BC">
              <w:rPr>
                <w:rFonts w:ascii="Calibri" w:eastAsia="Calibri" w:hAnsi="Calibri" w:cs="Calibri"/>
                <w:b/>
                <w:bCs/>
                <w:color w:val="FFFFFF"/>
                <w:sz w:val="22"/>
                <w:szCs w:val="22"/>
                <w:lang w:val="el-GR"/>
              </w:rPr>
              <w:t xml:space="preserve">2023 </w:t>
            </w:r>
            <w:r w:rsidRPr="009331BC">
              <w:rPr>
                <w:rFonts w:ascii="Calibri" w:eastAsia="Calibri" w:hAnsi="Calibri" w:cs="Calibri"/>
                <w:b/>
                <w:bCs/>
                <w:color w:val="FFFFFF"/>
                <w:sz w:val="22"/>
                <w:szCs w:val="22"/>
                <w:lang w:val="en-US"/>
              </w:rPr>
              <w:t>vs 2022</w:t>
            </w:r>
          </w:p>
          <w:p w14:paraId="4B71B0D2" w14:textId="77777777" w:rsidR="009331BC" w:rsidRPr="009331BC" w:rsidRDefault="009331BC" w:rsidP="00E60BF1">
            <w:pPr>
              <w:spacing w:after="160" w:line="259" w:lineRule="auto"/>
              <w:jc w:val="center"/>
              <w:rPr>
                <w:rFonts w:ascii="Calibri" w:eastAsia="Calibri" w:hAnsi="Calibri" w:cs="Calibri"/>
                <w:i/>
                <w:iCs/>
                <w:color w:val="FFFFFF"/>
                <w:sz w:val="22"/>
                <w:szCs w:val="22"/>
                <w:lang w:val="el-GR"/>
              </w:rPr>
            </w:pPr>
            <w:r w:rsidRPr="009331BC">
              <w:rPr>
                <w:rFonts w:ascii="Calibri" w:eastAsia="Calibri" w:hAnsi="Calibri" w:cs="Calibri"/>
                <w:i/>
                <w:iCs/>
                <w:color w:val="FFFFFF"/>
                <w:sz w:val="22"/>
                <w:szCs w:val="22"/>
                <w:lang w:val="el-GR"/>
              </w:rPr>
              <w:t>% μεταβολή</w:t>
            </w:r>
          </w:p>
        </w:tc>
      </w:tr>
      <w:tr w:rsidR="009331BC" w:rsidRPr="009331BC" w14:paraId="657F0D32" w14:textId="77777777" w:rsidTr="001F1C1A">
        <w:trPr>
          <w:trHeight w:val="405"/>
        </w:trPr>
        <w:tc>
          <w:tcPr>
            <w:tcW w:w="10213" w:type="dxa"/>
            <w:gridSpan w:val="4"/>
            <w:shd w:val="clear" w:color="auto" w:fill="auto"/>
            <w:tcMar>
              <w:top w:w="13" w:type="dxa"/>
              <w:left w:w="97" w:type="dxa"/>
              <w:bottom w:w="0" w:type="dxa"/>
              <w:right w:w="97" w:type="dxa"/>
            </w:tcMar>
            <w:vAlign w:val="bottom"/>
          </w:tcPr>
          <w:p w14:paraId="0BC6D250" w14:textId="77777777" w:rsidR="009331BC" w:rsidRPr="009331BC" w:rsidRDefault="009331BC" w:rsidP="00E60BF1">
            <w:pPr>
              <w:spacing w:after="160" w:line="259" w:lineRule="auto"/>
              <w:textAlignment w:val="bottom"/>
              <w:rPr>
                <w:rFonts w:ascii="Calibri" w:eastAsia="Calibri" w:hAnsi="Calibri" w:cs="Calibri"/>
                <w:b/>
                <w:bCs/>
                <w:color w:val="243587"/>
                <w:sz w:val="22"/>
                <w:szCs w:val="22"/>
                <w:lang w:val="el-GR"/>
              </w:rPr>
            </w:pPr>
            <w:r w:rsidRPr="009331BC">
              <w:rPr>
                <w:rFonts w:ascii="Calibri" w:eastAsia="Calibri" w:hAnsi="Calibri" w:cs="Calibri"/>
                <w:b/>
                <w:bCs/>
                <w:color w:val="243587"/>
                <w:sz w:val="22"/>
                <w:szCs w:val="22"/>
                <w:lang w:val="el-GR"/>
              </w:rPr>
              <w:t xml:space="preserve">Προσφερόμενες Θέσεις </w:t>
            </w:r>
          </w:p>
        </w:tc>
      </w:tr>
      <w:tr w:rsidR="009331BC" w:rsidRPr="009331BC" w14:paraId="3DEA8294" w14:textId="77777777" w:rsidTr="00366543">
        <w:trPr>
          <w:trHeight w:val="405"/>
        </w:trPr>
        <w:tc>
          <w:tcPr>
            <w:tcW w:w="3195" w:type="dxa"/>
            <w:shd w:val="clear" w:color="auto" w:fill="auto"/>
            <w:tcMar>
              <w:top w:w="13" w:type="dxa"/>
              <w:left w:w="97" w:type="dxa"/>
              <w:bottom w:w="0" w:type="dxa"/>
              <w:right w:w="97" w:type="dxa"/>
            </w:tcMar>
            <w:vAlign w:val="bottom"/>
            <w:hideMark/>
          </w:tcPr>
          <w:p w14:paraId="562A119A" w14:textId="77777777" w:rsidR="009331BC" w:rsidRPr="009331BC" w:rsidRDefault="009331BC" w:rsidP="00E60BF1">
            <w:pPr>
              <w:spacing w:after="160" w:line="259" w:lineRule="auto"/>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 xml:space="preserve">Συνολικά διαθέσιμες θέσεις </w:t>
            </w:r>
          </w:p>
        </w:tc>
        <w:tc>
          <w:tcPr>
            <w:tcW w:w="2322" w:type="dxa"/>
            <w:shd w:val="clear" w:color="auto" w:fill="DEEAF6"/>
            <w:tcMar>
              <w:top w:w="13" w:type="dxa"/>
              <w:left w:w="13" w:type="dxa"/>
              <w:bottom w:w="0" w:type="dxa"/>
              <w:right w:w="13" w:type="dxa"/>
            </w:tcMar>
            <w:vAlign w:val="center"/>
          </w:tcPr>
          <w:p w14:paraId="26F22401"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18.547.770</w:t>
            </w:r>
          </w:p>
        </w:tc>
        <w:tc>
          <w:tcPr>
            <w:tcW w:w="2285" w:type="dxa"/>
            <w:vAlign w:val="center"/>
          </w:tcPr>
          <w:p w14:paraId="325BF2C9"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p>
          <w:p w14:paraId="0C7DDA3F"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15.437.463</w:t>
            </w:r>
          </w:p>
        </w:tc>
        <w:tc>
          <w:tcPr>
            <w:tcW w:w="2410" w:type="dxa"/>
            <w:shd w:val="clear" w:color="auto" w:fill="DEEAF6"/>
            <w:tcMar>
              <w:top w:w="13" w:type="dxa"/>
              <w:left w:w="13" w:type="dxa"/>
              <w:bottom w:w="0" w:type="dxa"/>
              <w:right w:w="13" w:type="dxa"/>
            </w:tcMar>
            <w:vAlign w:val="center"/>
          </w:tcPr>
          <w:p w14:paraId="532A5277"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p>
          <w:p w14:paraId="19AA862F" w14:textId="1E187F33"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n-US"/>
              </w:rPr>
              <w:t>20</w:t>
            </w:r>
            <w:r w:rsidRPr="009331BC">
              <w:rPr>
                <w:rFonts w:ascii="Calibri" w:eastAsia="Calibri" w:hAnsi="Calibri" w:cs="Calibri"/>
                <w:color w:val="243587"/>
                <w:sz w:val="22"/>
                <w:szCs w:val="22"/>
                <w:lang w:val="el-GR"/>
              </w:rPr>
              <w:t>%</w:t>
            </w:r>
            <w:r w:rsidR="006434D6">
              <w:rPr>
                <w:rFonts w:ascii="Calibri" w:eastAsia="Calibri" w:hAnsi="Calibri" w:cs="Calibri"/>
                <w:color w:val="243587"/>
                <w:sz w:val="22"/>
                <w:szCs w:val="22"/>
                <w:lang w:val="el-GR"/>
              </w:rPr>
              <w:t xml:space="preserve"> (+ 3</w:t>
            </w:r>
            <w:r w:rsidR="00CE3687">
              <w:rPr>
                <w:rFonts w:ascii="Calibri" w:eastAsia="Calibri" w:hAnsi="Calibri" w:cs="Calibri"/>
                <w:color w:val="243587"/>
                <w:sz w:val="22"/>
                <w:szCs w:val="22"/>
                <w:lang w:val="en-US"/>
              </w:rPr>
              <w:t>,</w:t>
            </w:r>
            <w:r w:rsidR="006434D6">
              <w:rPr>
                <w:rFonts w:ascii="Calibri" w:eastAsia="Calibri" w:hAnsi="Calibri" w:cs="Calibri"/>
                <w:color w:val="243587"/>
                <w:sz w:val="22"/>
                <w:szCs w:val="22"/>
                <w:lang w:val="el-GR"/>
              </w:rPr>
              <w:t xml:space="preserve">1 εκ) </w:t>
            </w:r>
          </w:p>
        </w:tc>
      </w:tr>
      <w:tr w:rsidR="009331BC" w:rsidRPr="009331BC" w14:paraId="74C4E9A9" w14:textId="77777777" w:rsidTr="00366543">
        <w:trPr>
          <w:trHeight w:val="405"/>
        </w:trPr>
        <w:tc>
          <w:tcPr>
            <w:tcW w:w="3195" w:type="dxa"/>
            <w:shd w:val="clear" w:color="auto" w:fill="auto"/>
            <w:tcMar>
              <w:top w:w="13" w:type="dxa"/>
              <w:left w:w="97" w:type="dxa"/>
              <w:bottom w:w="0" w:type="dxa"/>
              <w:right w:w="97" w:type="dxa"/>
            </w:tcMar>
            <w:vAlign w:val="bottom"/>
          </w:tcPr>
          <w:p w14:paraId="68A048DF" w14:textId="77777777" w:rsidR="009331BC" w:rsidRPr="009331BC" w:rsidRDefault="009331BC" w:rsidP="00E60BF1">
            <w:pPr>
              <w:spacing w:after="160" w:line="259" w:lineRule="auto"/>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 xml:space="preserve">Χιλιομετρικές θέσεις σύνολο </w:t>
            </w:r>
          </w:p>
          <w:p w14:paraId="68187C6F" w14:textId="77777777" w:rsidR="009331BC" w:rsidRPr="009331BC" w:rsidRDefault="009331BC" w:rsidP="00E60BF1">
            <w:pPr>
              <w:spacing w:after="160" w:line="259" w:lineRule="auto"/>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w:t>
            </w:r>
            <w:r w:rsidRPr="009331BC">
              <w:rPr>
                <w:rFonts w:ascii="Calibri" w:eastAsia="Calibri" w:hAnsi="Calibri" w:cs="Calibri"/>
                <w:color w:val="243587"/>
                <w:sz w:val="22"/>
                <w:szCs w:val="22"/>
                <w:lang w:val="en-US"/>
              </w:rPr>
              <w:t>ASKs</w:t>
            </w:r>
            <w:r w:rsidRPr="009331BC">
              <w:rPr>
                <w:rFonts w:ascii="Calibri" w:eastAsia="Calibri" w:hAnsi="Calibri" w:cs="Calibri"/>
                <w:color w:val="243587"/>
                <w:sz w:val="22"/>
                <w:szCs w:val="22"/>
                <w:lang w:val="el-GR"/>
              </w:rPr>
              <w:t xml:space="preserve"> σε εκατ.) </w:t>
            </w:r>
          </w:p>
        </w:tc>
        <w:tc>
          <w:tcPr>
            <w:tcW w:w="2322" w:type="dxa"/>
            <w:shd w:val="clear" w:color="auto" w:fill="DEEAF6"/>
            <w:tcMar>
              <w:top w:w="13" w:type="dxa"/>
              <w:left w:w="13" w:type="dxa"/>
              <w:bottom w:w="0" w:type="dxa"/>
              <w:right w:w="13" w:type="dxa"/>
            </w:tcMar>
            <w:vAlign w:val="center"/>
          </w:tcPr>
          <w:p w14:paraId="0E6A9DF9"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n-US"/>
              </w:rPr>
              <w:t>20.0</w:t>
            </w:r>
            <w:r w:rsidRPr="009331BC">
              <w:rPr>
                <w:rFonts w:ascii="Calibri" w:eastAsia="Calibri" w:hAnsi="Calibri" w:cs="Calibri"/>
                <w:color w:val="243587"/>
                <w:sz w:val="22"/>
                <w:szCs w:val="22"/>
                <w:lang w:val="el-GR"/>
              </w:rPr>
              <w:t>89</w:t>
            </w:r>
          </w:p>
        </w:tc>
        <w:tc>
          <w:tcPr>
            <w:tcW w:w="2285" w:type="dxa"/>
            <w:vAlign w:val="center"/>
          </w:tcPr>
          <w:p w14:paraId="2B3AFF4C"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p>
          <w:p w14:paraId="1160D609"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n-US"/>
              </w:rPr>
              <w:t>16.3</w:t>
            </w:r>
            <w:r w:rsidRPr="009331BC">
              <w:rPr>
                <w:rFonts w:ascii="Calibri" w:eastAsia="Calibri" w:hAnsi="Calibri" w:cs="Calibri"/>
                <w:color w:val="243587"/>
                <w:sz w:val="22"/>
                <w:szCs w:val="22"/>
                <w:lang w:val="el-GR"/>
              </w:rPr>
              <w:t>78</w:t>
            </w:r>
          </w:p>
        </w:tc>
        <w:tc>
          <w:tcPr>
            <w:tcW w:w="2410" w:type="dxa"/>
            <w:shd w:val="clear" w:color="auto" w:fill="DEEAF6"/>
            <w:tcMar>
              <w:top w:w="13" w:type="dxa"/>
              <w:left w:w="13" w:type="dxa"/>
              <w:bottom w:w="0" w:type="dxa"/>
              <w:right w:w="13" w:type="dxa"/>
            </w:tcMar>
            <w:vAlign w:val="center"/>
          </w:tcPr>
          <w:p w14:paraId="4AFFDF6D"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p>
          <w:p w14:paraId="552B2F5D"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n-US"/>
              </w:rPr>
            </w:pPr>
            <w:r w:rsidRPr="009331BC">
              <w:rPr>
                <w:rFonts w:ascii="Calibri" w:eastAsia="Calibri" w:hAnsi="Calibri" w:cs="Calibri"/>
                <w:color w:val="243587"/>
                <w:sz w:val="22"/>
                <w:szCs w:val="22"/>
                <w:lang w:val="en-US"/>
              </w:rPr>
              <w:t>2</w:t>
            </w:r>
            <w:r w:rsidRPr="009331BC">
              <w:rPr>
                <w:rFonts w:ascii="Calibri" w:eastAsia="Calibri" w:hAnsi="Calibri" w:cs="Calibri"/>
                <w:color w:val="243587"/>
                <w:sz w:val="22"/>
                <w:szCs w:val="22"/>
                <w:lang w:val="el-GR"/>
              </w:rPr>
              <w:t>2,7</w:t>
            </w:r>
            <w:r w:rsidRPr="009331BC">
              <w:rPr>
                <w:rFonts w:ascii="Calibri" w:eastAsia="Calibri" w:hAnsi="Calibri" w:cs="Calibri"/>
                <w:color w:val="243587"/>
                <w:sz w:val="22"/>
                <w:szCs w:val="22"/>
                <w:lang w:val="en-US"/>
              </w:rPr>
              <w:t>%</w:t>
            </w:r>
          </w:p>
        </w:tc>
      </w:tr>
      <w:tr w:rsidR="009331BC" w:rsidRPr="009331BC" w14:paraId="0A83DF7A" w14:textId="77777777" w:rsidTr="00366543">
        <w:trPr>
          <w:trHeight w:val="405"/>
        </w:trPr>
        <w:tc>
          <w:tcPr>
            <w:tcW w:w="10213" w:type="dxa"/>
            <w:gridSpan w:val="4"/>
            <w:shd w:val="clear" w:color="auto" w:fill="auto"/>
            <w:tcMar>
              <w:top w:w="13" w:type="dxa"/>
              <w:left w:w="97" w:type="dxa"/>
              <w:bottom w:w="0" w:type="dxa"/>
              <w:right w:w="97" w:type="dxa"/>
            </w:tcMar>
            <w:vAlign w:val="center"/>
          </w:tcPr>
          <w:p w14:paraId="4144E14B" w14:textId="77777777" w:rsidR="009331BC" w:rsidRPr="009331BC" w:rsidRDefault="009331BC" w:rsidP="00E60BF1">
            <w:pPr>
              <w:spacing w:after="160" w:line="259" w:lineRule="auto"/>
              <w:textAlignment w:val="bottom"/>
              <w:rPr>
                <w:rFonts w:ascii="Calibri" w:eastAsia="Calibri" w:hAnsi="Calibri" w:cs="Calibri"/>
                <w:b/>
                <w:bCs/>
                <w:color w:val="243587"/>
                <w:sz w:val="22"/>
                <w:szCs w:val="22"/>
                <w:lang w:val="el-GR"/>
              </w:rPr>
            </w:pPr>
            <w:r w:rsidRPr="009331BC">
              <w:rPr>
                <w:rFonts w:ascii="Calibri" w:eastAsia="Calibri" w:hAnsi="Calibri" w:cs="Calibri"/>
                <w:b/>
                <w:bCs/>
                <w:color w:val="243587"/>
                <w:sz w:val="22"/>
                <w:szCs w:val="22"/>
                <w:lang w:val="el-GR"/>
              </w:rPr>
              <w:t xml:space="preserve">Επιβατική κίνηση </w:t>
            </w:r>
          </w:p>
        </w:tc>
      </w:tr>
      <w:tr w:rsidR="009331BC" w:rsidRPr="009331BC" w14:paraId="7B7CB6DF" w14:textId="77777777" w:rsidTr="00366543">
        <w:trPr>
          <w:trHeight w:val="405"/>
        </w:trPr>
        <w:tc>
          <w:tcPr>
            <w:tcW w:w="3195" w:type="dxa"/>
            <w:shd w:val="clear" w:color="auto" w:fill="auto"/>
            <w:tcMar>
              <w:top w:w="13" w:type="dxa"/>
              <w:left w:w="97" w:type="dxa"/>
              <w:bottom w:w="0" w:type="dxa"/>
              <w:right w:w="97" w:type="dxa"/>
            </w:tcMar>
            <w:vAlign w:val="center"/>
          </w:tcPr>
          <w:p w14:paraId="00210E03" w14:textId="77777777" w:rsidR="009331BC" w:rsidRPr="009331BC" w:rsidRDefault="009331BC" w:rsidP="00E60BF1">
            <w:pPr>
              <w:spacing w:after="160" w:line="259" w:lineRule="auto"/>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Συνολική επιβατική κίνηση</w:t>
            </w:r>
          </w:p>
        </w:tc>
        <w:tc>
          <w:tcPr>
            <w:tcW w:w="2322" w:type="dxa"/>
            <w:shd w:val="clear" w:color="auto" w:fill="DEEAF6"/>
            <w:tcMar>
              <w:top w:w="13" w:type="dxa"/>
              <w:left w:w="13" w:type="dxa"/>
              <w:bottom w:w="0" w:type="dxa"/>
              <w:right w:w="13" w:type="dxa"/>
            </w:tcMar>
            <w:vAlign w:val="center"/>
          </w:tcPr>
          <w:p w14:paraId="0F232F88"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15.461.762</w:t>
            </w:r>
          </w:p>
        </w:tc>
        <w:tc>
          <w:tcPr>
            <w:tcW w:w="2285" w:type="dxa"/>
            <w:vAlign w:val="center"/>
          </w:tcPr>
          <w:p w14:paraId="4D893D1D" w14:textId="77777777" w:rsidR="009331BC" w:rsidRPr="009331BC" w:rsidRDefault="009331BC" w:rsidP="00366543">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12.255.393</w:t>
            </w:r>
          </w:p>
        </w:tc>
        <w:tc>
          <w:tcPr>
            <w:tcW w:w="2410" w:type="dxa"/>
            <w:shd w:val="clear" w:color="auto" w:fill="DEEAF6"/>
            <w:tcMar>
              <w:top w:w="13" w:type="dxa"/>
              <w:left w:w="13" w:type="dxa"/>
              <w:bottom w:w="0" w:type="dxa"/>
              <w:right w:w="13" w:type="dxa"/>
            </w:tcMar>
            <w:vAlign w:val="center"/>
          </w:tcPr>
          <w:p w14:paraId="24FA5E60" w14:textId="77777777" w:rsidR="009331BC" w:rsidRPr="009331BC" w:rsidRDefault="009331BC" w:rsidP="00E60BF1">
            <w:pPr>
              <w:spacing w:after="160" w:line="259" w:lineRule="auto"/>
              <w:textAlignment w:val="bottom"/>
              <w:rPr>
                <w:rFonts w:ascii="Calibri" w:eastAsia="Calibri" w:hAnsi="Calibri" w:cs="Calibri"/>
                <w:color w:val="243587"/>
                <w:sz w:val="22"/>
                <w:szCs w:val="22"/>
                <w:lang w:val="el-GR"/>
              </w:rPr>
            </w:pPr>
          </w:p>
          <w:p w14:paraId="34033E60" w14:textId="453CC64C"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26%</w:t>
            </w:r>
            <w:r w:rsidR="006434D6">
              <w:rPr>
                <w:rFonts w:ascii="Calibri" w:eastAsia="Calibri" w:hAnsi="Calibri" w:cs="Calibri"/>
                <w:color w:val="243587"/>
                <w:sz w:val="22"/>
                <w:szCs w:val="22"/>
                <w:lang w:val="el-GR"/>
              </w:rPr>
              <w:t xml:space="preserve"> (+ 3</w:t>
            </w:r>
            <w:r w:rsidR="00CE3687">
              <w:rPr>
                <w:rFonts w:ascii="Calibri" w:eastAsia="Calibri" w:hAnsi="Calibri" w:cs="Calibri"/>
                <w:color w:val="243587"/>
                <w:sz w:val="22"/>
                <w:szCs w:val="22"/>
                <w:lang w:val="en-US"/>
              </w:rPr>
              <w:t>,</w:t>
            </w:r>
            <w:r w:rsidR="006434D6">
              <w:rPr>
                <w:rFonts w:ascii="Calibri" w:eastAsia="Calibri" w:hAnsi="Calibri" w:cs="Calibri"/>
                <w:color w:val="243587"/>
                <w:sz w:val="22"/>
                <w:szCs w:val="22"/>
                <w:lang w:val="el-GR"/>
              </w:rPr>
              <w:t xml:space="preserve">2 εκ) </w:t>
            </w:r>
          </w:p>
        </w:tc>
      </w:tr>
      <w:tr w:rsidR="009331BC" w:rsidRPr="009331BC" w14:paraId="5D65BB18" w14:textId="77777777" w:rsidTr="00366543">
        <w:trPr>
          <w:trHeight w:val="280"/>
        </w:trPr>
        <w:tc>
          <w:tcPr>
            <w:tcW w:w="3195" w:type="dxa"/>
            <w:shd w:val="clear" w:color="auto" w:fill="auto"/>
            <w:tcMar>
              <w:top w:w="13" w:type="dxa"/>
              <w:left w:w="97" w:type="dxa"/>
              <w:bottom w:w="0" w:type="dxa"/>
              <w:right w:w="97" w:type="dxa"/>
            </w:tcMar>
          </w:tcPr>
          <w:p w14:paraId="7A808C95" w14:textId="77777777" w:rsidR="009331BC" w:rsidRPr="009331BC" w:rsidRDefault="009331BC" w:rsidP="00E60BF1">
            <w:pPr>
              <w:spacing w:after="160" w:line="259" w:lineRule="auto"/>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Συνολική επιβατική κίνηση εσωτερικού</w:t>
            </w:r>
          </w:p>
        </w:tc>
        <w:tc>
          <w:tcPr>
            <w:tcW w:w="2322" w:type="dxa"/>
            <w:shd w:val="clear" w:color="auto" w:fill="DEEAF6"/>
            <w:tcMar>
              <w:top w:w="13" w:type="dxa"/>
              <w:left w:w="13" w:type="dxa"/>
              <w:bottom w:w="0" w:type="dxa"/>
              <w:right w:w="13" w:type="dxa"/>
            </w:tcMar>
            <w:vAlign w:val="center"/>
          </w:tcPr>
          <w:p w14:paraId="309E2ED5" w14:textId="2E981AE8" w:rsidR="009331BC" w:rsidRPr="009331BC" w:rsidRDefault="009331BC" w:rsidP="00366543">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6</w:t>
            </w:r>
            <w:r w:rsidR="00CE3687">
              <w:rPr>
                <w:rFonts w:ascii="Calibri" w:eastAsia="Calibri" w:hAnsi="Calibri" w:cs="Calibri"/>
                <w:color w:val="243587"/>
                <w:sz w:val="22"/>
                <w:szCs w:val="22"/>
                <w:lang w:val="en-US"/>
              </w:rPr>
              <w:t>.</w:t>
            </w:r>
            <w:r w:rsidRPr="009331BC">
              <w:rPr>
                <w:rFonts w:ascii="Calibri" w:eastAsia="Calibri" w:hAnsi="Calibri" w:cs="Calibri"/>
                <w:color w:val="243587"/>
                <w:sz w:val="22"/>
                <w:szCs w:val="22"/>
                <w:lang w:val="el-GR"/>
              </w:rPr>
              <w:t>239</w:t>
            </w:r>
            <w:r w:rsidR="00CE3687">
              <w:rPr>
                <w:rFonts w:ascii="Calibri" w:eastAsia="Calibri" w:hAnsi="Calibri" w:cs="Calibri"/>
                <w:color w:val="243587"/>
                <w:sz w:val="22"/>
                <w:szCs w:val="22"/>
                <w:lang w:val="en-US"/>
              </w:rPr>
              <w:t>.</w:t>
            </w:r>
            <w:r w:rsidRPr="009331BC">
              <w:rPr>
                <w:rFonts w:ascii="Calibri" w:eastAsia="Calibri" w:hAnsi="Calibri" w:cs="Calibri"/>
                <w:color w:val="243587"/>
                <w:sz w:val="22"/>
                <w:szCs w:val="22"/>
                <w:lang w:val="el-GR"/>
              </w:rPr>
              <w:t>360</w:t>
            </w:r>
          </w:p>
        </w:tc>
        <w:tc>
          <w:tcPr>
            <w:tcW w:w="2285" w:type="dxa"/>
            <w:vAlign w:val="center"/>
          </w:tcPr>
          <w:p w14:paraId="3F778136" w14:textId="478D4C3E" w:rsidR="009331BC" w:rsidRPr="009331BC" w:rsidRDefault="009331BC" w:rsidP="00366543">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5</w:t>
            </w:r>
            <w:r w:rsidR="00CE3687">
              <w:rPr>
                <w:rFonts w:ascii="Calibri" w:eastAsia="Calibri" w:hAnsi="Calibri" w:cs="Calibri"/>
                <w:color w:val="243587"/>
                <w:sz w:val="22"/>
                <w:szCs w:val="22"/>
                <w:lang w:val="en-US"/>
              </w:rPr>
              <w:t>.</w:t>
            </w:r>
            <w:r w:rsidRPr="009331BC">
              <w:rPr>
                <w:rFonts w:ascii="Calibri" w:eastAsia="Calibri" w:hAnsi="Calibri" w:cs="Calibri"/>
                <w:color w:val="243587"/>
                <w:sz w:val="22"/>
                <w:szCs w:val="22"/>
                <w:lang w:val="el-GR"/>
              </w:rPr>
              <w:t>127</w:t>
            </w:r>
            <w:r w:rsidR="00CE3687">
              <w:rPr>
                <w:rFonts w:ascii="Calibri" w:eastAsia="Calibri" w:hAnsi="Calibri" w:cs="Calibri"/>
                <w:color w:val="243587"/>
                <w:sz w:val="22"/>
                <w:szCs w:val="22"/>
                <w:lang w:val="en-US"/>
              </w:rPr>
              <w:t>.</w:t>
            </w:r>
            <w:r w:rsidRPr="009331BC">
              <w:rPr>
                <w:rFonts w:ascii="Calibri" w:eastAsia="Calibri" w:hAnsi="Calibri" w:cs="Calibri"/>
                <w:color w:val="243587"/>
                <w:sz w:val="22"/>
                <w:szCs w:val="22"/>
                <w:lang w:val="el-GR"/>
              </w:rPr>
              <w:t>129</w:t>
            </w:r>
          </w:p>
        </w:tc>
        <w:tc>
          <w:tcPr>
            <w:tcW w:w="2410" w:type="dxa"/>
            <w:shd w:val="clear" w:color="auto" w:fill="DEEAF6"/>
            <w:tcMar>
              <w:top w:w="13" w:type="dxa"/>
              <w:left w:w="13" w:type="dxa"/>
              <w:bottom w:w="0" w:type="dxa"/>
              <w:right w:w="13" w:type="dxa"/>
            </w:tcMar>
            <w:vAlign w:val="center"/>
          </w:tcPr>
          <w:p w14:paraId="66A4DAAB" w14:textId="77777777" w:rsidR="009331BC" w:rsidRPr="009331BC" w:rsidRDefault="009331BC" w:rsidP="00366543">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22%</w:t>
            </w:r>
          </w:p>
        </w:tc>
      </w:tr>
      <w:tr w:rsidR="009331BC" w:rsidRPr="009331BC" w14:paraId="76A99AEB" w14:textId="77777777" w:rsidTr="00366543">
        <w:trPr>
          <w:trHeight w:val="280"/>
        </w:trPr>
        <w:tc>
          <w:tcPr>
            <w:tcW w:w="3195" w:type="dxa"/>
            <w:shd w:val="clear" w:color="auto" w:fill="auto"/>
            <w:tcMar>
              <w:top w:w="13" w:type="dxa"/>
              <w:left w:w="97" w:type="dxa"/>
              <w:bottom w:w="0" w:type="dxa"/>
              <w:right w:w="97" w:type="dxa"/>
            </w:tcMar>
            <w:vAlign w:val="center"/>
          </w:tcPr>
          <w:p w14:paraId="22C773EB" w14:textId="77777777" w:rsidR="009331BC" w:rsidRPr="009331BC" w:rsidRDefault="009331BC" w:rsidP="00E60BF1">
            <w:pPr>
              <w:spacing w:after="160" w:line="259" w:lineRule="auto"/>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Συνολική επιβατική κίνηση εξωτερικού</w:t>
            </w:r>
          </w:p>
        </w:tc>
        <w:tc>
          <w:tcPr>
            <w:tcW w:w="2322" w:type="dxa"/>
            <w:shd w:val="clear" w:color="auto" w:fill="DEEAF6"/>
            <w:tcMar>
              <w:top w:w="13" w:type="dxa"/>
              <w:left w:w="13" w:type="dxa"/>
              <w:bottom w:w="0" w:type="dxa"/>
              <w:right w:w="13" w:type="dxa"/>
            </w:tcMar>
            <w:vAlign w:val="center"/>
          </w:tcPr>
          <w:p w14:paraId="58B6BCEF"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9.222.402</w:t>
            </w:r>
          </w:p>
        </w:tc>
        <w:tc>
          <w:tcPr>
            <w:tcW w:w="2285" w:type="dxa"/>
            <w:vAlign w:val="center"/>
          </w:tcPr>
          <w:p w14:paraId="757B105C"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7.128.264</w:t>
            </w:r>
          </w:p>
        </w:tc>
        <w:tc>
          <w:tcPr>
            <w:tcW w:w="2410" w:type="dxa"/>
            <w:shd w:val="clear" w:color="auto" w:fill="DEEAF6"/>
            <w:tcMar>
              <w:top w:w="13" w:type="dxa"/>
              <w:left w:w="13" w:type="dxa"/>
              <w:bottom w:w="0" w:type="dxa"/>
              <w:right w:w="13" w:type="dxa"/>
            </w:tcMar>
            <w:vAlign w:val="center"/>
          </w:tcPr>
          <w:p w14:paraId="0D2F9D13" w14:textId="728A787A"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2</w:t>
            </w:r>
            <w:r w:rsidR="00B32F4A">
              <w:rPr>
                <w:rFonts w:ascii="Calibri" w:eastAsia="Calibri" w:hAnsi="Calibri" w:cs="Calibri"/>
                <w:color w:val="243587"/>
                <w:sz w:val="22"/>
                <w:szCs w:val="22"/>
                <w:lang w:val="el-GR"/>
              </w:rPr>
              <w:t>9</w:t>
            </w:r>
            <w:r w:rsidRPr="009331BC">
              <w:rPr>
                <w:rFonts w:ascii="Calibri" w:eastAsia="Calibri" w:hAnsi="Calibri" w:cs="Calibri"/>
                <w:color w:val="243587"/>
                <w:sz w:val="22"/>
                <w:szCs w:val="22"/>
                <w:lang w:val="el-GR"/>
              </w:rPr>
              <w:t>%</w:t>
            </w:r>
            <w:r w:rsidR="006434D6">
              <w:rPr>
                <w:rFonts w:ascii="Calibri" w:eastAsia="Calibri" w:hAnsi="Calibri" w:cs="Calibri"/>
                <w:color w:val="243587"/>
                <w:sz w:val="22"/>
                <w:szCs w:val="22"/>
                <w:lang w:val="el-GR"/>
              </w:rPr>
              <w:t xml:space="preserve"> (+2</w:t>
            </w:r>
            <w:r w:rsidR="00CE3687">
              <w:rPr>
                <w:rFonts w:ascii="Calibri" w:eastAsia="Calibri" w:hAnsi="Calibri" w:cs="Calibri"/>
                <w:color w:val="243587"/>
                <w:sz w:val="22"/>
                <w:szCs w:val="22"/>
                <w:lang w:val="en-US"/>
              </w:rPr>
              <w:t>,</w:t>
            </w:r>
            <w:r w:rsidR="006434D6">
              <w:rPr>
                <w:rFonts w:ascii="Calibri" w:eastAsia="Calibri" w:hAnsi="Calibri" w:cs="Calibri"/>
                <w:color w:val="243587"/>
                <w:sz w:val="22"/>
                <w:szCs w:val="22"/>
                <w:lang w:val="el-GR"/>
              </w:rPr>
              <w:t>1 εκ)</w:t>
            </w:r>
          </w:p>
        </w:tc>
      </w:tr>
      <w:tr w:rsidR="009331BC" w:rsidRPr="009331BC" w14:paraId="5891929F" w14:textId="77777777" w:rsidTr="00366543">
        <w:trPr>
          <w:trHeight w:val="657"/>
        </w:trPr>
        <w:tc>
          <w:tcPr>
            <w:tcW w:w="3195" w:type="dxa"/>
            <w:shd w:val="clear" w:color="auto" w:fill="auto"/>
            <w:tcMar>
              <w:top w:w="13" w:type="dxa"/>
              <w:left w:w="97" w:type="dxa"/>
              <w:bottom w:w="0" w:type="dxa"/>
              <w:right w:w="97" w:type="dxa"/>
            </w:tcMar>
            <w:vAlign w:val="center"/>
          </w:tcPr>
          <w:p w14:paraId="63A93257" w14:textId="77777777" w:rsidR="009331BC" w:rsidRPr="009331BC" w:rsidRDefault="009331BC" w:rsidP="00E60BF1">
            <w:pPr>
              <w:spacing w:after="160" w:line="259" w:lineRule="auto"/>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Συνολική επιβατική κίνηση από/προς Αθήνα</w:t>
            </w:r>
          </w:p>
        </w:tc>
        <w:tc>
          <w:tcPr>
            <w:tcW w:w="2322" w:type="dxa"/>
            <w:shd w:val="clear" w:color="auto" w:fill="DEEAF6"/>
            <w:tcMar>
              <w:top w:w="13" w:type="dxa"/>
              <w:left w:w="13" w:type="dxa"/>
              <w:bottom w:w="0" w:type="dxa"/>
              <w:right w:w="13" w:type="dxa"/>
            </w:tcMar>
            <w:vAlign w:val="center"/>
          </w:tcPr>
          <w:p w14:paraId="6CFD0EF1" w14:textId="0DD5A240"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13</w:t>
            </w:r>
            <w:r w:rsidR="00CE3687">
              <w:rPr>
                <w:rFonts w:ascii="Calibri" w:eastAsia="Calibri" w:hAnsi="Calibri" w:cs="Calibri"/>
                <w:color w:val="243587"/>
                <w:sz w:val="22"/>
                <w:szCs w:val="22"/>
                <w:lang w:val="en-US"/>
              </w:rPr>
              <w:t>.</w:t>
            </w:r>
            <w:r w:rsidRPr="009331BC">
              <w:rPr>
                <w:rFonts w:ascii="Calibri" w:eastAsia="Calibri" w:hAnsi="Calibri" w:cs="Calibri"/>
                <w:color w:val="243587"/>
                <w:sz w:val="22"/>
                <w:szCs w:val="22"/>
                <w:lang w:val="el-GR"/>
              </w:rPr>
              <w:t>000</w:t>
            </w:r>
            <w:r w:rsidR="00CE3687">
              <w:rPr>
                <w:rFonts w:ascii="Calibri" w:eastAsia="Calibri" w:hAnsi="Calibri" w:cs="Calibri"/>
                <w:color w:val="243587"/>
                <w:sz w:val="22"/>
                <w:szCs w:val="22"/>
                <w:lang w:val="en-US"/>
              </w:rPr>
              <w:t>.</w:t>
            </w:r>
            <w:r w:rsidRPr="009331BC">
              <w:rPr>
                <w:rFonts w:ascii="Calibri" w:eastAsia="Calibri" w:hAnsi="Calibri" w:cs="Calibri"/>
                <w:color w:val="243587"/>
                <w:sz w:val="22"/>
                <w:szCs w:val="22"/>
                <w:lang w:val="el-GR"/>
              </w:rPr>
              <w:t>285</w:t>
            </w:r>
          </w:p>
        </w:tc>
        <w:tc>
          <w:tcPr>
            <w:tcW w:w="2285" w:type="dxa"/>
            <w:vAlign w:val="center"/>
          </w:tcPr>
          <w:p w14:paraId="43331D80" w14:textId="786900D5"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10</w:t>
            </w:r>
            <w:r w:rsidR="00CE3687">
              <w:rPr>
                <w:rFonts w:ascii="Calibri" w:eastAsia="Calibri" w:hAnsi="Calibri" w:cs="Calibri"/>
                <w:color w:val="243587"/>
                <w:sz w:val="22"/>
                <w:szCs w:val="22"/>
                <w:lang w:val="en-US"/>
              </w:rPr>
              <w:t>.</w:t>
            </w:r>
            <w:r w:rsidRPr="009331BC">
              <w:rPr>
                <w:rFonts w:ascii="Calibri" w:eastAsia="Calibri" w:hAnsi="Calibri" w:cs="Calibri"/>
                <w:color w:val="243587"/>
                <w:sz w:val="22"/>
                <w:szCs w:val="22"/>
                <w:lang w:val="el-GR"/>
              </w:rPr>
              <w:t>211</w:t>
            </w:r>
            <w:r w:rsidR="00CE3687">
              <w:rPr>
                <w:rFonts w:ascii="Calibri" w:eastAsia="Calibri" w:hAnsi="Calibri" w:cs="Calibri"/>
                <w:color w:val="243587"/>
                <w:sz w:val="22"/>
                <w:szCs w:val="22"/>
                <w:lang w:val="en-US"/>
              </w:rPr>
              <w:t>.</w:t>
            </w:r>
            <w:r w:rsidRPr="009331BC">
              <w:rPr>
                <w:rFonts w:ascii="Calibri" w:eastAsia="Calibri" w:hAnsi="Calibri" w:cs="Calibri"/>
                <w:color w:val="243587"/>
                <w:sz w:val="22"/>
                <w:szCs w:val="22"/>
                <w:lang w:val="el-GR"/>
              </w:rPr>
              <w:t>427</w:t>
            </w:r>
          </w:p>
        </w:tc>
        <w:tc>
          <w:tcPr>
            <w:tcW w:w="2410" w:type="dxa"/>
            <w:shd w:val="clear" w:color="auto" w:fill="DEEAF6"/>
            <w:tcMar>
              <w:top w:w="13" w:type="dxa"/>
              <w:left w:w="13" w:type="dxa"/>
              <w:bottom w:w="0" w:type="dxa"/>
              <w:right w:w="13" w:type="dxa"/>
            </w:tcMar>
            <w:vAlign w:val="center"/>
          </w:tcPr>
          <w:p w14:paraId="1AFF8B59"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27%</w:t>
            </w:r>
          </w:p>
        </w:tc>
      </w:tr>
      <w:tr w:rsidR="009331BC" w:rsidRPr="009331BC" w14:paraId="0B18309A" w14:textId="77777777" w:rsidTr="00366543">
        <w:trPr>
          <w:trHeight w:val="194"/>
        </w:trPr>
        <w:tc>
          <w:tcPr>
            <w:tcW w:w="3195" w:type="dxa"/>
            <w:shd w:val="clear" w:color="auto" w:fill="auto"/>
            <w:tcMar>
              <w:top w:w="13" w:type="dxa"/>
              <w:left w:w="97" w:type="dxa"/>
              <w:bottom w:w="0" w:type="dxa"/>
              <w:right w:w="97" w:type="dxa"/>
            </w:tcMar>
            <w:vAlign w:val="center"/>
            <w:hideMark/>
          </w:tcPr>
          <w:p w14:paraId="00459C94" w14:textId="1A8A9155" w:rsidR="009331BC" w:rsidRPr="009331BC" w:rsidRDefault="009331BC" w:rsidP="00E60BF1">
            <w:pPr>
              <w:spacing w:after="160" w:line="259" w:lineRule="auto"/>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Επιβατική κίνηση  από/προς  Θεσσαλονίκη</w:t>
            </w:r>
          </w:p>
        </w:tc>
        <w:tc>
          <w:tcPr>
            <w:tcW w:w="2322" w:type="dxa"/>
            <w:shd w:val="clear" w:color="auto" w:fill="DEEAF6"/>
            <w:tcMar>
              <w:top w:w="13" w:type="dxa"/>
              <w:left w:w="13" w:type="dxa"/>
              <w:bottom w:w="0" w:type="dxa"/>
              <w:right w:w="13" w:type="dxa"/>
            </w:tcMar>
            <w:vAlign w:val="center"/>
          </w:tcPr>
          <w:p w14:paraId="09949543"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1.053.068</w:t>
            </w:r>
          </w:p>
        </w:tc>
        <w:tc>
          <w:tcPr>
            <w:tcW w:w="2285" w:type="dxa"/>
            <w:vAlign w:val="center"/>
          </w:tcPr>
          <w:p w14:paraId="242EE75C"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p>
          <w:p w14:paraId="366E893B" w14:textId="77777777" w:rsidR="009331BC" w:rsidRPr="009331BC" w:rsidRDefault="009331BC" w:rsidP="00CE3687">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789.656</w:t>
            </w:r>
          </w:p>
        </w:tc>
        <w:tc>
          <w:tcPr>
            <w:tcW w:w="2410" w:type="dxa"/>
            <w:shd w:val="clear" w:color="auto" w:fill="DEEAF6"/>
            <w:tcMar>
              <w:top w:w="13" w:type="dxa"/>
              <w:left w:w="13" w:type="dxa"/>
              <w:bottom w:w="0" w:type="dxa"/>
              <w:right w:w="13" w:type="dxa"/>
            </w:tcMar>
            <w:vAlign w:val="center"/>
          </w:tcPr>
          <w:p w14:paraId="49937EB4"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p>
          <w:p w14:paraId="3A708E84"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33%</w:t>
            </w:r>
          </w:p>
        </w:tc>
      </w:tr>
      <w:tr w:rsidR="009331BC" w:rsidRPr="009331BC" w14:paraId="3C6198EC" w14:textId="77777777" w:rsidTr="00366543">
        <w:trPr>
          <w:trHeight w:val="728"/>
        </w:trPr>
        <w:tc>
          <w:tcPr>
            <w:tcW w:w="3195" w:type="dxa"/>
            <w:shd w:val="clear" w:color="auto" w:fill="auto"/>
            <w:tcMar>
              <w:top w:w="13" w:type="dxa"/>
              <w:left w:w="97" w:type="dxa"/>
              <w:bottom w:w="0" w:type="dxa"/>
              <w:right w:w="97" w:type="dxa"/>
            </w:tcMar>
            <w:vAlign w:val="center"/>
          </w:tcPr>
          <w:p w14:paraId="3A0D44D5" w14:textId="77777777" w:rsidR="009331BC" w:rsidRPr="009331BC" w:rsidRDefault="009331BC" w:rsidP="00E60BF1">
            <w:pPr>
              <w:spacing w:after="160" w:line="259" w:lineRule="auto"/>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Συντελεστής πληρότητας*</w:t>
            </w:r>
          </w:p>
        </w:tc>
        <w:tc>
          <w:tcPr>
            <w:tcW w:w="2322" w:type="dxa"/>
            <w:shd w:val="clear" w:color="auto" w:fill="DEEAF6"/>
            <w:tcMar>
              <w:top w:w="13" w:type="dxa"/>
              <w:left w:w="13" w:type="dxa"/>
              <w:bottom w:w="0" w:type="dxa"/>
              <w:right w:w="13" w:type="dxa"/>
            </w:tcMar>
            <w:vAlign w:val="center"/>
          </w:tcPr>
          <w:p w14:paraId="2A1684C2"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83,4%</w:t>
            </w:r>
          </w:p>
        </w:tc>
        <w:tc>
          <w:tcPr>
            <w:tcW w:w="2285" w:type="dxa"/>
            <w:vAlign w:val="center"/>
          </w:tcPr>
          <w:p w14:paraId="3CEFD71A"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79,4%</w:t>
            </w:r>
          </w:p>
        </w:tc>
        <w:tc>
          <w:tcPr>
            <w:tcW w:w="2410" w:type="dxa"/>
            <w:shd w:val="clear" w:color="auto" w:fill="DEEAF6"/>
            <w:tcMar>
              <w:top w:w="13" w:type="dxa"/>
              <w:left w:w="13" w:type="dxa"/>
              <w:bottom w:w="0" w:type="dxa"/>
              <w:right w:w="13" w:type="dxa"/>
            </w:tcMar>
            <w:vAlign w:val="center"/>
          </w:tcPr>
          <w:p w14:paraId="581BC501" w14:textId="77777777" w:rsidR="009331BC" w:rsidRPr="009331BC" w:rsidRDefault="009331BC" w:rsidP="00E60BF1">
            <w:pPr>
              <w:spacing w:after="160" w:line="259" w:lineRule="auto"/>
              <w:jc w:val="center"/>
              <w:textAlignment w:val="bottom"/>
              <w:rPr>
                <w:rFonts w:ascii="Calibri" w:eastAsia="Calibri" w:hAnsi="Calibri" w:cs="Calibri"/>
                <w:color w:val="243587"/>
                <w:sz w:val="22"/>
                <w:szCs w:val="22"/>
                <w:lang w:val="el-GR"/>
              </w:rPr>
            </w:pPr>
            <w:r w:rsidRPr="009331BC">
              <w:rPr>
                <w:rFonts w:ascii="Calibri" w:eastAsia="Calibri" w:hAnsi="Calibri" w:cs="Calibri"/>
                <w:color w:val="243587"/>
                <w:sz w:val="22"/>
                <w:szCs w:val="22"/>
                <w:lang w:val="el-GR"/>
              </w:rPr>
              <w:t>+4.0% (μβ.)</w:t>
            </w:r>
          </w:p>
        </w:tc>
      </w:tr>
    </w:tbl>
    <w:p w14:paraId="379CB34D" w14:textId="77777777" w:rsidR="009331BC" w:rsidRDefault="009331BC" w:rsidP="0078493F">
      <w:pPr>
        <w:rPr>
          <w:i/>
          <w:iCs/>
          <w:color w:val="243587"/>
          <w:sz w:val="22"/>
          <w:szCs w:val="22"/>
          <w:lang w:val="el-GR"/>
        </w:rPr>
      </w:pPr>
    </w:p>
    <w:p w14:paraId="737C4DD2" w14:textId="77777777" w:rsidR="009331BC" w:rsidRDefault="009331BC" w:rsidP="0078493F">
      <w:pPr>
        <w:rPr>
          <w:i/>
          <w:iCs/>
          <w:color w:val="243587"/>
          <w:sz w:val="22"/>
          <w:szCs w:val="22"/>
          <w:lang w:val="el-GR"/>
        </w:rPr>
      </w:pPr>
    </w:p>
    <w:p w14:paraId="5F297ADC" w14:textId="51A2509F" w:rsidR="009331BC" w:rsidRDefault="009331BC" w:rsidP="0078493F">
      <w:pPr>
        <w:rPr>
          <w:i/>
          <w:iCs/>
          <w:color w:val="243587"/>
          <w:sz w:val="22"/>
          <w:szCs w:val="22"/>
          <w:lang w:val="el-GR"/>
        </w:rPr>
      </w:pPr>
    </w:p>
    <w:p w14:paraId="5AFBB462" w14:textId="14ED89F1" w:rsidR="009331BC" w:rsidRDefault="009331BC" w:rsidP="0078493F">
      <w:pPr>
        <w:rPr>
          <w:i/>
          <w:iCs/>
          <w:color w:val="243587"/>
          <w:sz w:val="22"/>
          <w:szCs w:val="22"/>
          <w:lang w:val="el-GR"/>
        </w:rPr>
      </w:pPr>
    </w:p>
    <w:p w14:paraId="77D1AE9A" w14:textId="71A1AD1A" w:rsidR="009331BC" w:rsidRDefault="009331BC" w:rsidP="0078493F">
      <w:pPr>
        <w:rPr>
          <w:i/>
          <w:iCs/>
          <w:color w:val="243587"/>
          <w:sz w:val="22"/>
          <w:szCs w:val="22"/>
          <w:lang w:val="el-GR"/>
        </w:rPr>
      </w:pPr>
    </w:p>
    <w:p w14:paraId="627AA565" w14:textId="6641EC4D" w:rsidR="009331BC" w:rsidRDefault="009331BC" w:rsidP="0078493F">
      <w:pPr>
        <w:rPr>
          <w:i/>
          <w:iCs/>
          <w:color w:val="243587"/>
          <w:sz w:val="22"/>
          <w:szCs w:val="22"/>
          <w:lang w:val="el-GR"/>
        </w:rPr>
      </w:pPr>
    </w:p>
    <w:p w14:paraId="0A134581" w14:textId="4DBE9456" w:rsidR="009331BC" w:rsidRDefault="009331BC" w:rsidP="0078493F">
      <w:pPr>
        <w:rPr>
          <w:i/>
          <w:iCs/>
          <w:color w:val="243587"/>
          <w:sz w:val="22"/>
          <w:szCs w:val="22"/>
          <w:lang w:val="el-GR"/>
        </w:rPr>
      </w:pPr>
    </w:p>
    <w:p w14:paraId="234D7D30" w14:textId="5915D65E" w:rsidR="009331BC" w:rsidRDefault="009331BC" w:rsidP="0078493F">
      <w:pPr>
        <w:rPr>
          <w:i/>
          <w:iCs/>
          <w:color w:val="243587"/>
          <w:sz w:val="22"/>
          <w:szCs w:val="22"/>
          <w:lang w:val="el-GR"/>
        </w:rPr>
      </w:pPr>
    </w:p>
    <w:p w14:paraId="35CDA9F1" w14:textId="5CCCB25B" w:rsidR="009331BC" w:rsidRDefault="009331BC" w:rsidP="0078493F">
      <w:pPr>
        <w:rPr>
          <w:i/>
          <w:iCs/>
          <w:color w:val="243587"/>
          <w:sz w:val="22"/>
          <w:szCs w:val="22"/>
          <w:lang w:val="el-GR"/>
        </w:rPr>
      </w:pPr>
    </w:p>
    <w:p w14:paraId="33E340AD" w14:textId="515C8A72" w:rsidR="009331BC" w:rsidRDefault="009331BC" w:rsidP="0078493F">
      <w:pPr>
        <w:rPr>
          <w:i/>
          <w:iCs/>
          <w:color w:val="243587"/>
          <w:sz w:val="22"/>
          <w:szCs w:val="22"/>
          <w:lang w:val="el-GR"/>
        </w:rPr>
      </w:pPr>
    </w:p>
    <w:p w14:paraId="663813E0" w14:textId="00404A2D" w:rsidR="009331BC" w:rsidRDefault="009331BC" w:rsidP="0078493F">
      <w:pPr>
        <w:rPr>
          <w:i/>
          <w:iCs/>
          <w:color w:val="243587"/>
          <w:sz w:val="22"/>
          <w:szCs w:val="22"/>
          <w:lang w:val="el-GR"/>
        </w:rPr>
      </w:pPr>
    </w:p>
    <w:p w14:paraId="3D6A443D" w14:textId="47557009" w:rsidR="009331BC" w:rsidRDefault="009331BC" w:rsidP="0078493F">
      <w:pPr>
        <w:rPr>
          <w:i/>
          <w:iCs/>
          <w:color w:val="243587"/>
          <w:sz w:val="22"/>
          <w:szCs w:val="22"/>
          <w:lang w:val="el-GR"/>
        </w:rPr>
      </w:pPr>
    </w:p>
    <w:p w14:paraId="33B7D420" w14:textId="46652DD8" w:rsidR="009331BC" w:rsidRDefault="009331BC" w:rsidP="0078493F">
      <w:pPr>
        <w:rPr>
          <w:i/>
          <w:iCs/>
          <w:color w:val="243587"/>
          <w:sz w:val="22"/>
          <w:szCs w:val="22"/>
          <w:lang w:val="el-GR"/>
        </w:rPr>
      </w:pPr>
    </w:p>
    <w:p w14:paraId="329C9ECC" w14:textId="2FBC22B1" w:rsidR="009331BC" w:rsidRDefault="009331BC" w:rsidP="0078493F">
      <w:pPr>
        <w:rPr>
          <w:i/>
          <w:iCs/>
          <w:color w:val="243587"/>
          <w:sz w:val="22"/>
          <w:szCs w:val="22"/>
          <w:lang w:val="el-GR"/>
        </w:rPr>
      </w:pPr>
    </w:p>
    <w:p w14:paraId="5F8BB857" w14:textId="6E2C46E3" w:rsidR="009331BC" w:rsidRDefault="009331BC" w:rsidP="0078493F">
      <w:pPr>
        <w:rPr>
          <w:i/>
          <w:iCs/>
          <w:color w:val="243587"/>
          <w:sz w:val="22"/>
          <w:szCs w:val="22"/>
          <w:lang w:val="el-GR"/>
        </w:rPr>
      </w:pPr>
    </w:p>
    <w:p w14:paraId="33A867F4" w14:textId="4AE560B7" w:rsidR="009331BC" w:rsidRDefault="009331BC" w:rsidP="0078493F">
      <w:pPr>
        <w:rPr>
          <w:i/>
          <w:iCs/>
          <w:color w:val="243587"/>
          <w:sz w:val="22"/>
          <w:szCs w:val="22"/>
          <w:lang w:val="el-GR"/>
        </w:rPr>
      </w:pPr>
    </w:p>
    <w:p w14:paraId="5CBC3AEC" w14:textId="77777777" w:rsidR="009331BC" w:rsidRDefault="009331BC" w:rsidP="0078493F">
      <w:pPr>
        <w:rPr>
          <w:i/>
          <w:iCs/>
          <w:color w:val="243587"/>
          <w:sz w:val="22"/>
          <w:szCs w:val="22"/>
          <w:lang w:val="el-GR"/>
        </w:rPr>
      </w:pPr>
    </w:p>
    <w:p w14:paraId="7B3A11BC" w14:textId="77777777" w:rsidR="009331BC" w:rsidRDefault="009331BC" w:rsidP="0078493F">
      <w:pPr>
        <w:rPr>
          <w:i/>
          <w:iCs/>
          <w:color w:val="243587"/>
          <w:sz w:val="22"/>
          <w:szCs w:val="22"/>
          <w:lang w:val="el-GR"/>
        </w:rPr>
      </w:pPr>
    </w:p>
    <w:p w14:paraId="4B749ECE" w14:textId="77777777" w:rsidR="009331BC" w:rsidRDefault="009331BC" w:rsidP="0078493F">
      <w:pPr>
        <w:rPr>
          <w:i/>
          <w:iCs/>
          <w:color w:val="243587"/>
          <w:sz w:val="22"/>
          <w:szCs w:val="22"/>
          <w:lang w:val="el-GR"/>
        </w:rPr>
      </w:pPr>
    </w:p>
    <w:p w14:paraId="057BCE95" w14:textId="77777777" w:rsidR="009331BC" w:rsidRDefault="009331BC" w:rsidP="0078493F">
      <w:pPr>
        <w:rPr>
          <w:i/>
          <w:iCs/>
          <w:color w:val="243587"/>
          <w:sz w:val="22"/>
          <w:szCs w:val="22"/>
          <w:lang w:val="el-GR"/>
        </w:rPr>
      </w:pPr>
    </w:p>
    <w:p w14:paraId="1A2A6D1F" w14:textId="77777777" w:rsidR="009331BC" w:rsidRDefault="009331BC" w:rsidP="0078493F">
      <w:pPr>
        <w:rPr>
          <w:i/>
          <w:iCs/>
          <w:color w:val="243587"/>
          <w:sz w:val="22"/>
          <w:szCs w:val="22"/>
          <w:lang w:val="el-GR"/>
        </w:rPr>
      </w:pPr>
    </w:p>
    <w:p w14:paraId="36513A2F" w14:textId="77777777" w:rsidR="009331BC" w:rsidRDefault="009331BC" w:rsidP="0078493F">
      <w:pPr>
        <w:rPr>
          <w:i/>
          <w:iCs/>
          <w:color w:val="243587"/>
          <w:sz w:val="22"/>
          <w:szCs w:val="22"/>
          <w:lang w:val="el-GR"/>
        </w:rPr>
      </w:pPr>
    </w:p>
    <w:p w14:paraId="30BCAE74" w14:textId="77777777" w:rsidR="009331BC" w:rsidRDefault="009331BC" w:rsidP="0078493F">
      <w:pPr>
        <w:rPr>
          <w:i/>
          <w:iCs/>
          <w:color w:val="243587"/>
          <w:sz w:val="22"/>
          <w:szCs w:val="22"/>
          <w:lang w:val="el-GR"/>
        </w:rPr>
      </w:pPr>
    </w:p>
    <w:p w14:paraId="002ED277" w14:textId="77777777" w:rsidR="009331BC" w:rsidRDefault="009331BC" w:rsidP="0078493F">
      <w:pPr>
        <w:rPr>
          <w:i/>
          <w:iCs/>
          <w:color w:val="243587"/>
          <w:sz w:val="22"/>
          <w:szCs w:val="22"/>
          <w:lang w:val="el-GR"/>
        </w:rPr>
      </w:pPr>
    </w:p>
    <w:p w14:paraId="5B1251F9" w14:textId="77777777" w:rsidR="009331BC" w:rsidRDefault="009331BC" w:rsidP="0078493F">
      <w:pPr>
        <w:rPr>
          <w:i/>
          <w:iCs/>
          <w:color w:val="243587"/>
          <w:sz w:val="22"/>
          <w:szCs w:val="22"/>
          <w:lang w:val="el-GR"/>
        </w:rPr>
      </w:pPr>
    </w:p>
    <w:p w14:paraId="4B163130" w14:textId="77777777" w:rsidR="009331BC" w:rsidRDefault="009331BC" w:rsidP="0078493F">
      <w:pPr>
        <w:rPr>
          <w:i/>
          <w:iCs/>
          <w:color w:val="243587"/>
          <w:sz w:val="22"/>
          <w:szCs w:val="22"/>
          <w:lang w:val="el-GR"/>
        </w:rPr>
      </w:pPr>
    </w:p>
    <w:p w14:paraId="7F8CBA59" w14:textId="77777777" w:rsidR="009331BC" w:rsidRDefault="009331BC" w:rsidP="0078493F">
      <w:pPr>
        <w:rPr>
          <w:i/>
          <w:iCs/>
          <w:color w:val="243587"/>
          <w:sz w:val="22"/>
          <w:szCs w:val="22"/>
          <w:lang w:val="el-GR"/>
        </w:rPr>
      </w:pPr>
    </w:p>
    <w:p w14:paraId="5045AA62" w14:textId="77777777" w:rsidR="009331BC" w:rsidRDefault="009331BC" w:rsidP="0078493F">
      <w:pPr>
        <w:rPr>
          <w:i/>
          <w:iCs/>
          <w:color w:val="243587"/>
          <w:sz w:val="22"/>
          <w:szCs w:val="22"/>
          <w:lang w:val="el-GR"/>
        </w:rPr>
      </w:pPr>
    </w:p>
    <w:p w14:paraId="1F02FE25" w14:textId="77777777" w:rsidR="009331BC" w:rsidRDefault="009331BC" w:rsidP="0078493F">
      <w:pPr>
        <w:rPr>
          <w:i/>
          <w:iCs/>
          <w:color w:val="243587"/>
          <w:sz w:val="22"/>
          <w:szCs w:val="22"/>
          <w:lang w:val="el-GR"/>
        </w:rPr>
      </w:pPr>
    </w:p>
    <w:p w14:paraId="0DFD59D4" w14:textId="77777777" w:rsidR="009331BC" w:rsidRDefault="009331BC" w:rsidP="0078493F">
      <w:pPr>
        <w:rPr>
          <w:i/>
          <w:iCs/>
          <w:color w:val="243587"/>
          <w:sz w:val="22"/>
          <w:szCs w:val="22"/>
          <w:lang w:val="el-GR"/>
        </w:rPr>
      </w:pPr>
    </w:p>
    <w:p w14:paraId="52AAF8B3" w14:textId="77777777" w:rsidR="009331BC" w:rsidRDefault="009331BC" w:rsidP="0078493F">
      <w:pPr>
        <w:rPr>
          <w:i/>
          <w:iCs/>
          <w:color w:val="243587"/>
          <w:sz w:val="22"/>
          <w:szCs w:val="22"/>
          <w:lang w:val="el-GR"/>
        </w:rPr>
      </w:pPr>
    </w:p>
    <w:p w14:paraId="1271731A" w14:textId="77777777" w:rsidR="009331BC" w:rsidRDefault="009331BC" w:rsidP="0078493F">
      <w:pPr>
        <w:rPr>
          <w:i/>
          <w:iCs/>
          <w:color w:val="243587"/>
          <w:sz w:val="22"/>
          <w:szCs w:val="22"/>
          <w:lang w:val="el-GR"/>
        </w:rPr>
      </w:pPr>
    </w:p>
    <w:p w14:paraId="3FF4FB23" w14:textId="561F8656" w:rsidR="0078493F" w:rsidRPr="009812F0" w:rsidRDefault="0078493F" w:rsidP="0078493F">
      <w:pPr>
        <w:rPr>
          <w:rFonts w:cstheme="minorHAnsi"/>
          <w:i/>
          <w:iCs/>
          <w:color w:val="243587"/>
          <w:sz w:val="22"/>
          <w:szCs w:val="22"/>
          <w:lang w:val="el-GR"/>
        </w:rPr>
      </w:pPr>
      <w:r w:rsidRPr="00A91C3A">
        <w:rPr>
          <w:i/>
          <w:iCs/>
          <w:color w:val="243587"/>
          <w:sz w:val="22"/>
          <w:szCs w:val="22"/>
          <w:lang w:val="el-GR"/>
        </w:rPr>
        <w:t>* Σύνολο επιβατοχιλιομέτρων προς διαθέσιμες χιλιομετρικές θέσεις σε προγραμματισμένες και τσάρτερ πτήσεις</w:t>
      </w:r>
      <w:r>
        <w:rPr>
          <w:rFonts w:cstheme="minorHAnsi"/>
          <w:i/>
          <w:iCs/>
          <w:color w:val="243587"/>
          <w:sz w:val="22"/>
          <w:szCs w:val="22"/>
          <w:lang w:val="el-GR"/>
        </w:rPr>
        <w:t>.</w:t>
      </w:r>
    </w:p>
    <w:p w14:paraId="7D96A7F6" w14:textId="0C473467" w:rsidR="007B1374" w:rsidRPr="00415507" w:rsidRDefault="00347C2B" w:rsidP="00415507">
      <w:pPr>
        <w:ind w:right="5"/>
        <w:jc w:val="both"/>
        <w:rPr>
          <w:rFonts w:cstheme="minorHAnsi"/>
          <w:color w:val="243587"/>
          <w:sz w:val="22"/>
          <w:szCs w:val="22"/>
          <w:lang w:val="el-GR"/>
        </w:rPr>
      </w:pPr>
      <w:r>
        <w:rPr>
          <w:rFonts w:cstheme="minorHAnsi"/>
          <w:color w:val="243587"/>
          <w:sz w:val="22"/>
          <w:szCs w:val="22"/>
          <w:lang w:val="el-GR"/>
        </w:rPr>
        <w:t xml:space="preserve"> </w:t>
      </w:r>
      <w:r w:rsidR="00A17BDD">
        <w:rPr>
          <w:rFonts w:cstheme="minorHAnsi"/>
          <w:color w:val="243587"/>
          <w:sz w:val="22"/>
          <w:szCs w:val="22"/>
          <w:lang w:val="el-GR"/>
        </w:rPr>
        <w:t xml:space="preserve"> </w:t>
      </w:r>
    </w:p>
    <w:p w14:paraId="57ED0AA8" w14:textId="15864E70" w:rsidR="007B1374" w:rsidRDefault="00415507" w:rsidP="009812F0">
      <w:pPr>
        <w:tabs>
          <w:tab w:val="left" w:pos="9498"/>
        </w:tabs>
        <w:spacing w:after="240"/>
        <w:ind w:right="-8"/>
        <w:jc w:val="both"/>
        <w:rPr>
          <w:rFonts w:cstheme="minorHAnsi"/>
          <w:b/>
          <w:bCs/>
          <w:color w:val="243587"/>
          <w:sz w:val="22"/>
          <w:szCs w:val="22"/>
          <w:lang w:val="el-GR"/>
        </w:rPr>
      </w:pPr>
      <w:r w:rsidRPr="00EF05DA">
        <w:rPr>
          <w:rFonts w:cstheme="minorHAnsi"/>
          <w:color w:val="243587"/>
          <w:sz w:val="22"/>
          <w:szCs w:val="22"/>
          <w:lang w:val="el-GR"/>
        </w:rPr>
        <w:t>Σημειώνεται, ότι η AEGEAN το 2023 προσ</w:t>
      </w:r>
      <w:r>
        <w:rPr>
          <w:rFonts w:cstheme="minorHAnsi"/>
          <w:color w:val="243587"/>
          <w:sz w:val="22"/>
          <w:szCs w:val="22"/>
          <w:lang w:val="el-GR"/>
        </w:rPr>
        <w:t xml:space="preserve">έφερε </w:t>
      </w:r>
      <w:r w:rsidRPr="00EF05DA">
        <w:rPr>
          <w:rFonts w:cstheme="minorHAnsi"/>
          <w:color w:val="243587"/>
          <w:sz w:val="22"/>
          <w:szCs w:val="22"/>
          <w:lang w:val="el-GR"/>
        </w:rPr>
        <w:t>συνολικά</w:t>
      </w:r>
      <w:r>
        <w:rPr>
          <w:rFonts w:cstheme="minorHAnsi"/>
          <w:color w:val="243587"/>
          <w:sz w:val="22"/>
          <w:szCs w:val="22"/>
          <w:lang w:val="el-GR"/>
        </w:rPr>
        <w:t xml:space="preserve"> περισσότερες από</w:t>
      </w:r>
      <w:r w:rsidRPr="00EF05DA">
        <w:rPr>
          <w:rFonts w:cstheme="minorHAnsi"/>
          <w:color w:val="243587"/>
          <w:sz w:val="22"/>
          <w:szCs w:val="22"/>
          <w:lang w:val="el-GR"/>
        </w:rPr>
        <w:t xml:space="preserve"> 18</w:t>
      </w:r>
      <w:r w:rsidR="00273AC2">
        <w:rPr>
          <w:rFonts w:cstheme="minorHAnsi"/>
          <w:color w:val="243587"/>
          <w:sz w:val="22"/>
          <w:szCs w:val="22"/>
          <w:lang w:val="el-GR"/>
        </w:rPr>
        <w:t>,5</w:t>
      </w:r>
      <w:r w:rsidRPr="00EF05DA">
        <w:rPr>
          <w:rFonts w:cstheme="minorHAnsi"/>
          <w:color w:val="243587"/>
          <w:sz w:val="22"/>
          <w:szCs w:val="22"/>
          <w:lang w:val="el-GR"/>
        </w:rPr>
        <w:t xml:space="preserve"> εκατ. θέσεις</w:t>
      </w:r>
      <w:r w:rsidR="00554284">
        <w:rPr>
          <w:rFonts w:cstheme="minorHAnsi"/>
          <w:color w:val="243587"/>
          <w:sz w:val="22"/>
          <w:szCs w:val="22"/>
          <w:lang w:val="el-GR"/>
        </w:rPr>
        <w:t xml:space="preserve"> εκ των οποίων</w:t>
      </w:r>
      <w:r w:rsidRPr="00EF05DA">
        <w:rPr>
          <w:rFonts w:cstheme="minorHAnsi"/>
          <w:color w:val="243587"/>
          <w:sz w:val="22"/>
          <w:szCs w:val="22"/>
          <w:lang w:val="el-GR"/>
        </w:rPr>
        <w:t xml:space="preserve"> 11</w:t>
      </w:r>
      <w:r w:rsidR="00D1654F">
        <w:rPr>
          <w:rFonts w:cstheme="minorHAnsi"/>
          <w:color w:val="243587"/>
          <w:sz w:val="22"/>
          <w:szCs w:val="22"/>
          <w:lang w:val="el-GR"/>
        </w:rPr>
        <w:t>,1</w:t>
      </w:r>
      <w:r w:rsidRPr="00EF05DA">
        <w:rPr>
          <w:rFonts w:cstheme="minorHAnsi"/>
          <w:color w:val="243587"/>
          <w:sz w:val="22"/>
          <w:szCs w:val="22"/>
          <w:lang w:val="el-GR"/>
        </w:rPr>
        <w:t xml:space="preserve"> εκατ. θέσεις εξωτερικού, 2</w:t>
      </w:r>
      <w:r w:rsidR="00D1654F">
        <w:rPr>
          <w:rFonts w:cstheme="minorHAnsi"/>
          <w:color w:val="243587"/>
          <w:sz w:val="22"/>
          <w:szCs w:val="22"/>
          <w:lang w:val="el-GR"/>
        </w:rPr>
        <w:t xml:space="preserve">,1 </w:t>
      </w:r>
      <w:r w:rsidRPr="00EF05DA">
        <w:rPr>
          <w:rFonts w:cstheme="minorHAnsi"/>
          <w:color w:val="243587"/>
          <w:sz w:val="22"/>
          <w:szCs w:val="22"/>
          <w:lang w:val="el-GR"/>
        </w:rPr>
        <w:t xml:space="preserve"> εκατ. περισσότερες συγκριτικά με το 2022 και 800 χιλιάδες περισσότερες από το 2019. </w:t>
      </w:r>
      <w:r>
        <w:rPr>
          <w:rFonts w:cstheme="minorHAnsi"/>
          <w:color w:val="243587"/>
          <w:sz w:val="22"/>
          <w:szCs w:val="22"/>
          <w:lang w:val="el-GR"/>
        </w:rPr>
        <w:t>Το δίκτυο της</w:t>
      </w:r>
      <w:r w:rsidRPr="00EF05DA">
        <w:rPr>
          <w:rFonts w:cstheme="minorHAnsi"/>
          <w:color w:val="243587"/>
          <w:sz w:val="22"/>
          <w:szCs w:val="22"/>
          <w:lang w:val="el-GR"/>
        </w:rPr>
        <w:t xml:space="preserve"> εταιρεία</w:t>
      </w:r>
      <w:r>
        <w:rPr>
          <w:rFonts w:cstheme="minorHAnsi"/>
          <w:color w:val="243587"/>
          <w:sz w:val="22"/>
          <w:szCs w:val="22"/>
          <w:lang w:val="el-GR"/>
        </w:rPr>
        <w:t xml:space="preserve">ς περιελάβανε </w:t>
      </w:r>
      <w:r w:rsidR="004C36ED">
        <w:rPr>
          <w:rFonts w:cstheme="minorHAnsi"/>
          <w:color w:val="243587"/>
          <w:sz w:val="22"/>
          <w:szCs w:val="22"/>
          <w:lang w:val="el-GR"/>
        </w:rPr>
        <w:t xml:space="preserve">συνολικά </w:t>
      </w:r>
      <w:r w:rsidRPr="00EF05DA">
        <w:rPr>
          <w:rFonts w:cstheme="minorHAnsi"/>
          <w:color w:val="243587"/>
          <w:sz w:val="22"/>
          <w:szCs w:val="22"/>
          <w:lang w:val="el-GR"/>
        </w:rPr>
        <w:t>1</w:t>
      </w:r>
      <w:r w:rsidR="004C36ED">
        <w:rPr>
          <w:rFonts w:cstheme="minorHAnsi"/>
          <w:color w:val="243587"/>
          <w:sz w:val="22"/>
          <w:szCs w:val="22"/>
          <w:lang w:val="el-GR"/>
        </w:rPr>
        <w:t>80</w:t>
      </w:r>
      <w:r w:rsidRPr="00EF05DA">
        <w:rPr>
          <w:rFonts w:cstheme="minorHAnsi"/>
          <w:color w:val="243587"/>
          <w:sz w:val="22"/>
          <w:szCs w:val="22"/>
          <w:lang w:val="el-GR"/>
        </w:rPr>
        <w:t xml:space="preserve"> προορισμούς σε 4</w:t>
      </w:r>
      <w:r w:rsidR="004C36ED">
        <w:rPr>
          <w:rFonts w:cstheme="minorHAnsi"/>
          <w:color w:val="243587"/>
          <w:sz w:val="22"/>
          <w:szCs w:val="22"/>
          <w:lang w:val="el-GR"/>
        </w:rPr>
        <w:t>9</w:t>
      </w:r>
      <w:r w:rsidRPr="00EF05DA">
        <w:rPr>
          <w:rFonts w:cstheme="minorHAnsi"/>
          <w:color w:val="243587"/>
          <w:sz w:val="22"/>
          <w:szCs w:val="22"/>
          <w:lang w:val="el-GR"/>
        </w:rPr>
        <w:t xml:space="preserve"> χώρες με </w:t>
      </w:r>
      <w:r w:rsidR="004C36ED">
        <w:rPr>
          <w:rFonts w:cstheme="minorHAnsi"/>
          <w:color w:val="243587"/>
          <w:sz w:val="22"/>
          <w:szCs w:val="22"/>
          <w:lang w:val="el-GR"/>
        </w:rPr>
        <w:t xml:space="preserve">307 </w:t>
      </w:r>
      <w:r w:rsidRPr="00EF05DA">
        <w:rPr>
          <w:rFonts w:cstheme="minorHAnsi"/>
          <w:color w:val="243587"/>
          <w:sz w:val="22"/>
          <w:szCs w:val="22"/>
          <w:lang w:val="el-GR"/>
        </w:rPr>
        <w:t xml:space="preserve">απευθείας δρομολόγια </w:t>
      </w:r>
      <w:r w:rsidR="004C36ED">
        <w:rPr>
          <w:rFonts w:cstheme="minorHAnsi"/>
          <w:color w:val="243587"/>
          <w:sz w:val="22"/>
          <w:szCs w:val="22"/>
          <w:lang w:val="el-GR"/>
        </w:rPr>
        <w:t xml:space="preserve">τακτικών και ναυλωμένων πτήσεων </w:t>
      </w:r>
      <w:r w:rsidRPr="00EF05DA">
        <w:rPr>
          <w:rFonts w:cstheme="minorHAnsi"/>
          <w:color w:val="243587"/>
          <w:sz w:val="22"/>
          <w:szCs w:val="22"/>
          <w:lang w:val="el-GR"/>
        </w:rPr>
        <w:t xml:space="preserve">και </w:t>
      </w:r>
      <w:r w:rsidR="00EB6018" w:rsidRPr="00EF05DA">
        <w:rPr>
          <w:rFonts w:cstheme="minorHAnsi"/>
          <w:color w:val="243587"/>
          <w:sz w:val="22"/>
          <w:szCs w:val="22"/>
          <w:lang w:val="el-GR"/>
        </w:rPr>
        <w:t>επιχ</w:t>
      </w:r>
      <w:r w:rsidR="00EB6018">
        <w:rPr>
          <w:rFonts w:cstheme="minorHAnsi"/>
          <w:color w:val="243587"/>
          <w:sz w:val="22"/>
          <w:szCs w:val="22"/>
          <w:lang w:val="el-GR"/>
        </w:rPr>
        <w:t>είρησε</w:t>
      </w:r>
      <w:r w:rsidR="00EB6018" w:rsidRPr="00EF05DA">
        <w:rPr>
          <w:rFonts w:cstheme="minorHAnsi"/>
          <w:color w:val="243587"/>
          <w:sz w:val="22"/>
          <w:szCs w:val="22"/>
          <w:lang w:val="el-GR"/>
        </w:rPr>
        <w:t xml:space="preserve"> με 76 αεροπλάνα </w:t>
      </w:r>
      <w:r w:rsidR="00EB6018">
        <w:rPr>
          <w:rFonts w:cstheme="minorHAnsi"/>
          <w:color w:val="243587"/>
          <w:sz w:val="22"/>
          <w:szCs w:val="22"/>
          <w:lang w:val="el-GR"/>
        </w:rPr>
        <w:t xml:space="preserve">παραλαμβάνοντας </w:t>
      </w:r>
      <w:r w:rsidRPr="00EF05DA">
        <w:rPr>
          <w:rFonts w:cstheme="minorHAnsi"/>
          <w:color w:val="243587"/>
          <w:sz w:val="22"/>
          <w:szCs w:val="22"/>
          <w:lang w:val="el-GR"/>
        </w:rPr>
        <w:t xml:space="preserve">9 </w:t>
      </w:r>
      <w:r w:rsidR="00EB6018">
        <w:rPr>
          <w:rFonts w:cstheme="minorHAnsi"/>
          <w:color w:val="243587"/>
          <w:sz w:val="22"/>
          <w:szCs w:val="22"/>
          <w:lang w:val="el-GR"/>
        </w:rPr>
        <w:t xml:space="preserve">ακόμη </w:t>
      </w:r>
      <w:r w:rsidRPr="00EF05DA">
        <w:rPr>
          <w:rFonts w:cstheme="minorHAnsi"/>
          <w:color w:val="243587"/>
          <w:sz w:val="22"/>
          <w:szCs w:val="22"/>
          <w:lang w:val="el-GR"/>
        </w:rPr>
        <w:t xml:space="preserve">νέα αεροσκάφη Airbus 320/321 neo που </w:t>
      </w:r>
      <w:r w:rsidR="004C36ED">
        <w:rPr>
          <w:rFonts w:cstheme="minorHAnsi"/>
          <w:color w:val="243587"/>
          <w:sz w:val="22"/>
          <w:szCs w:val="22"/>
          <w:lang w:val="el-GR"/>
        </w:rPr>
        <w:t>ήταν</w:t>
      </w:r>
      <w:r w:rsidRPr="00EF05DA">
        <w:rPr>
          <w:rFonts w:cstheme="minorHAnsi"/>
          <w:color w:val="243587"/>
          <w:sz w:val="22"/>
          <w:szCs w:val="22"/>
          <w:lang w:val="el-GR"/>
        </w:rPr>
        <w:t xml:space="preserve"> προγραμματισμένα για το 2023</w:t>
      </w:r>
      <w:r w:rsidR="004C36ED">
        <w:rPr>
          <w:rFonts w:cstheme="minorHAnsi"/>
          <w:color w:val="243587"/>
          <w:sz w:val="22"/>
          <w:szCs w:val="22"/>
          <w:lang w:val="el-GR"/>
        </w:rPr>
        <w:t xml:space="preserve">. </w:t>
      </w:r>
    </w:p>
    <w:sectPr w:rsidR="007B1374" w:rsidSect="0037457E">
      <w:headerReference w:type="default" r:id="rId11"/>
      <w:footerReference w:type="default" r:id="rId12"/>
      <w:pgSz w:w="11900" w:h="16840"/>
      <w:pgMar w:top="2552" w:right="567" w:bottom="1418" w:left="567" w:header="850" w:footer="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2906" w14:textId="77777777" w:rsidR="0037457E" w:rsidRDefault="0037457E" w:rsidP="003C1020">
      <w:r>
        <w:separator/>
      </w:r>
    </w:p>
  </w:endnote>
  <w:endnote w:type="continuationSeparator" w:id="0">
    <w:p w14:paraId="05676240" w14:textId="77777777" w:rsidR="0037457E" w:rsidRDefault="0037457E" w:rsidP="003C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Knowledge-Regular">
    <w:altName w:val="Cambria"/>
    <w:panose1 w:val="00000000000000000000"/>
    <w:charset w:val="00"/>
    <w:family w:val="roman"/>
    <w:notTrueType/>
    <w:pitch w:val="default"/>
  </w:font>
  <w:font w:name="URW Geometric Ext Extra Light">
    <w:altName w:val="Calibri"/>
    <w:panose1 w:val="00000000000000000000"/>
    <w:charset w:val="00"/>
    <w:family w:val="auto"/>
    <w:notTrueType/>
    <w:pitch w:val="variable"/>
    <w:sig w:usb0="20000287" w:usb1="00000001"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DA2D" w14:textId="77777777" w:rsidR="00DE4577" w:rsidRPr="006622B2" w:rsidRDefault="008F2ECF" w:rsidP="00B63CF4">
    <w:pPr>
      <w:pStyle w:val="Footer"/>
      <w:rPr>
        <w:rFonts w:ascii="URW Geometric Ext Extra Light" w:hAnsi="URW Geometric Ext Extra Light"/>
        <w:color w:val="243587"/>
        <w:sz w:val="16"/>
        <w:szCs w:val="16"/>
      </w:rPr>
    </w:pPr>
    <w:r>
      <w:rPr>
        <w:rFonts w:ascii="URW Geometric Ext Extra Light" w:hAnsi="URW Geometric Ext Extra Light"/>
        <w:noProof/>
        <w:color w:val="243587"/>
        <w:sz w:val="16"/>
        <w:szCs w:val="16"/>
        <w:lang w:val="el-GR" w:eastAsia="el-GR"/>
      </w:rPr>
      <w:drawing>
        <wp:inline distT="0" distB="0" distL="0" distR="0" wp14:anchorId="4D9CD186" wp14:editId="141EEB68">
          <wp:extent cx="6805952" cy="469376"/>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05952" cy="469376"/>
                  </a:xfrm>
                  <a:prstGeom prst="rect">
                    <a:avLst/>
                  </a:prstGeom>
                </pic:spPr>
              </pic:pic>
            </a:graphicData>
          </a:graphic>
        </wp:inline>
      </w:drawing>
    </w:r>
    <w:r w:rsidR="00DE4577" w:rsidRPr="00DE4577">
      <w:rPr>
        <w:rFonts w:ascii="URW Geometric Ext Extra Light" w:hAnsi="URW Geometric Ext Extra Light"/>
        <w:color w:val="243587"/>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D0E0C" w14:textId="77777777" w:rsidR="0037457E" w:rsidRDefault="0037457E" w:rsidP="003C1020">
      <w:r>
        <w:separator/>
      </w:r>
    </w:p>
  </w:footnote>
  <w:footnote w:type="continuationSeparator" w:id="0">
    <w:p w14:paraId="1FCA0FDA" w14:textId="77777777" w:rsidR="0037457E" w:rsidRDefault="0037457E" w:rsidP="003C1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DE76" w14:textId="6B47BAC4" w:rsidR="00DE4577" w:rsidRPr="00DE4577" w:rsidRDefault="00DB6D14">
    <w:pPr>
      <w:pStyle w:val="Header"/>
    </w:pPr>
    <w:r>
      <w:rPr>
        <w:noProof/>
        <w:lang w:val="el-GR" w:eastAsia="el-GR"/>
      </w:rPr>
      <w:drawing>
        <wp:inline distT="0" distB="0" distL="0" distR="0" wp14:anchorId="368546F7" wp14:editId="32003923">
          <wp:extent cx="6836410" cy="3594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836410" cy="359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01114"/>
    <w:multiLevelType w:val="hybridMultilevel"/>
    <w:tmpl w:val="9692E90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005483"/>
    <w:multiLevelType w:val="hybridMultilevel"/>
    <w:tmpl w:val="D160D6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38DA44D3"/>
    <w:multiLevelType w:val="hybridMultilevel"/>
    <w:tmpl w:val="E6FCD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FB3060D"/>
    <w:multiLevelType w:val="hybridMultilevel"/>
    <w:tmpl w:val="9198E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94048421">
    <w:abstractNumId w:val="2"/>
  </w:num>
  <w:num w:numId="2" w16cid:durableId="428428392">
    <w:abstractNumId w:val="0"/>
  </w:num>
  <w:num w:numId="3" w16cid:durableId="1421944553">
    <w:abstractNumId w:val="3"/>
  </w:num>
  <w:num w:numId="4" w16cid:durableId="643849822">
    <w:abstractNumId w:val="1"/>
  </w:num>
  <w:num w:numId="5" w16cid:durableId="1243683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20"/>
    <w:rsid w:val="0000761A"/>
    <w:rsid w:val="00014DD2"/>
    <w:rsid w:val="00017A3C"/>
    <w:rsid w:val="000217C3"/>
    <w:rsid w:val="00043EF3"/>
    <w:rsid w:val="00046D6E"/>
    <w:rsid w:val="00051F92"/>
    <w:rsid w:val="00052D0D"/>
    <w:rsid w:val="00064461"/>
    <w:rsid w:val="00071815"/>
    <w:rsid w:val="000750DC"/>
    <w:rsid w:val="00076A5E"/>
    <w:rsid w:val="00077C44"/>
    <w:rsid w:val="0008335A"/>
    <w:rsid w:val="00083DD3"/>
    <w:rsid w:val="00092B1B"/>
    <w:rsid w:val="00094F13"/>
    <w:rsid w:val="000A2FF9"/>
    <w:rsid w:val="000A5EF9"/>
    <w:rsid w:val="000A6242"/>
    <w:rsid w:val="000C51D6"/>
    <w:rsid w:val="000C584D"/>
    <w:rsid w:val="000E4A51"/>
    <w:rsid w:val="000E6EB1"/>
    <w:rsid w:val="000F6524"/>
    <w:rsid w:val="00103E50"/>
    <w:rsid w:val="001047DD"/>
    <w:rsid w:val="001054A4"/>
    <w:rsid w:val="00110B1C"/>
    <w:rsid w:val="0011104B"/>
    <w:rsid w:val="00111BEB"/>
    <w:rsid w:val="00114B87"/>
    <w:rsid w:val="00115C56"/>
    <w:rsid w:val="00117938"/>
    <w:rsid w:val="00122853"/>
    <w:rsid w:val="00123B9F"/>
    <w:rsid w:val="001262EA"/>
    <w:rsid w:val="00132BEE"/>
    <w:rsid w:val="00134071"/>
    <w:rsid w:val="001421A9"/>
    <w:rsid w:val="00150916"/>
    <w:rsid w:val="001563B1"/>
    <w:rsid w:val="00156562"/>
    <w:rsid w:val="00162F6B"/>
    <w:rsid w:val="001633A1"/>
    <w:rsid w:val="00170653"/>
    <w:rsid w:val="001748C7"/>
    <w:rsid w:val="0018130F"/>
    <w:rsid w:val="00193362"/>
    <w:rsid w:val="00193BF8"/>
    <w:rsid w:val="001956D5"/>
    <w:rsid w:val="001956F5"/>
    <w:rsid w:val="001A292B"/>
    <w:rsid w:val="001B572A"/>
    <w:rsid w:val="001C0E04"/>
    <w:rsid w:val="001D2AC5"/>
    <w:rsid w:val="001D36E0"/>
    <w:rsid w:val="001F0DF7"/>
    <w:rsid w:val="001F17F3"/>
    <w:rsid w:val="001F1C1A"/>
    <w:rsid w:val="001F2E1B"/>
    <w:rsid w:val="00202160"/>
    <w:rsid w:val="00202604"/>
    <w:rsid w:val="00203C06"/>
    <w:rsid w:val="0020432F"/>
    <w:rsid w:val="002063D6"/>
    <w:rsid w:val="00207B8C"/>
    <w:rsid w:val="00214C67"/>
    <w:rsid w:val="002164DD"/>
    <w:rsid w:val="002273C1"/>
    <w:rsid w:val="00231120"/>
    <w:rsid w:val="002526AE"/>
    <w:rsid w:val="00254091"/>
    <w:rsid w:val="0025607B"/>
    <w:rsid w:val="00256A18"/>
    <w:rsid w:val="0026027B"/>
    <w:rsid w:val="002608F0"/>
    <w:rsid w:val="00261139"/>
    <w:rsid w:val="0026277A"/>
    <w:rsid w:val="00265F11"/>
    <w:rsid w:val="002672EA"/>
    <w:rsid w:val="00273AC2"/>
    <w:rsid w:val="0027573B"/>
    <w:rsid w:val="00277BA8"/>
    <w:rsid w:val="00280DAE"/>
    <w:rsid w:val="002867F1"/>
    <w:rsid w:val="002912C3"/>
    <w:rsid w:val="0029159A"/>
    <w:rsid w:val="00294FE5"/>
    <w:rsid w:val="002A2E0A"/>
    <w:rsid w:val="002A469E"/>
    <w:rsid w:val="002B1007"/>
    <w:rsid w:val="002B73E2"/>
    <w:rsid w:val="002C7F7F"/>
    <w:rsid w:val="002D0305"/>
    <w:rsid w:val="002D3BC4"/>
    <w:rsid w:val="002D42B4"/>
    <w:rsid w:val="002D609A"/>
    <w:rsid w:val="002E5E9D"/>
    <w:rsid w:val="002E6C54"/>
    <w:rsid w:val="002E781D"/>
    <w:rsid w:val="002F2244"/>
    <w:rsid w:val="00304E97"/>
    <w:rsid w:val="00315A3F"/>
    <w:rsid w:val="003202D5"/>
    <w:rsid w:val="003202E3"/>
    <w:rsid w:val="00320F98"/>
    <w:rsid w:val="00325C9F"/>
    <w:rsid w:val="0032651B"/>
    <w:rsid w:val="00330433"/>
    <w:rsid w:val="00331C3C"/>
    <w:rsid w:val="00334269"/>
    <w:rsid w:val="00342236"/>
    <w:rsid w:val="00342CA5"/>
    <w:rsid w:val="00347A37"/>
    <w:rsid w:val="00347C2B"/>
    <w:rsid w:val="00347FE7"/>
    <w:rsid w:val="00350B36"/>
    <w:rsid w:val="0035472E"/>
    <w:rsid w:val="00354F6D"/>
    <w:rsid w:val="00355A53"/>
    <w:rsid w:val="00362708"/>
    <w:rsid w:val="00366543"/>
    <w:rsid w:val="00370C23"/>
    <w:rsid w:val="00373A08"/>
    <w:rsid w:val="0037457E"/>
    <w:rsid w:val="003937CB"/>
    <w:rsid w:val="00395747"/>
    <w:rsid w:val="003A48C7"/>
    <w:rsid w:val="003A49FF"/>
    <w:rsid w:val="003B3DB5"/>
    <w:rsid w:val="003B650D"/>
    <w:rsid w:val="003B650E"/>
    <w:rsid w:val="003C1020"/>
    <w:rsid w:val="003C7208"/>
    <w:rsid w:val="003D1A72"/>
    <w:rsid w:val="003D2132"/>
    <w:rsid w:val="003E64D4"/>
    <w:rsid w:val="003F113D"/>
    <w:rsid w:val="003F28D5"/>
    <w:rsid w:val="003F5FDB"/>
    <w:rsid w:val="00410A64"/>
    <w:rsid w:val="00411E9D"/>
    <w:rsid w:val="00415507"/>
    <w:rsid w:val="00420D61"/>
    <w:rsid w:val="00421CF2"/>
    <w:rsid w:val="00433BF4"/>
    <w:rsid w:val="0043553A"/>
    <w:rsid w:val="00447A35"/>
    <w:rsid w:val="0046168C"/>
    <w:rsid w:val="00463D43"/>
    <w:rsid w:val="0048233B"/>
    <w:rsid w:val="004870E1"/>
    <w:rsid w:val="00493337"/>
    <w:rsid w:val="004959AA"/>
    <w:rsid w:val="004A288C"/>
    <w:rsid w:val="004A3F2B"/>
    <w:rsid w:val="004A7450"/>
    <w:rsid w:val="004C36ED"/>
    <w:rsid w:val="004D1F33"/>
    <w:rsid w:val="004E13D4"/>
    <w:rsid w:val="004E3993"/>
    <w:rsid w:val="004E7540"/>
    <w:rsid w:val="004F3DD1"/>
    <w:rsid w:val="004F4F14"/>
    <w:rsid w:val="005007B3"/>
    <w:rsid w:val="005075BC"/>
    <w:rsid w:val="00512DD6"/>
    <w:rsid w:val="00515EFB"/>
    <w:rsid w:val="0052584C"/>
    <w:rsid w:val="005346E2"/>
    <w:rsid w:val="00544996"/>
    <w:rsid w:val="005531F3"/>
    <w:rsid w:val="00554284"/>
    <w:rsid w:val="005667BE"/>
    <w:rsid w:val="005706DC"/>
    <w:rsid w:val="00570FD2"/>
    <w:rsid w:val="0057233C"/>
    <w:rsid w:val="00573863"/>
    <w:rsid w:val="00581C6C"/>
    <w:rsid w:val="005946E0"/>
    <w:rsid w:val="00594DB1"/>
    <w:rsid w:val="005A0C7D"/>
    <w:rsid w:val="005A74D5"/>
    <w:rsid w:val="005B07B3"/>
    <w:rsid w:val="005B0D17"/>
    <w:rsid w:val="005C084C"/>
    <w:rsid w:val="005C258A"/>
    <w:rsid w:val="005C26A0"/>
    <w:rsid w:val="005C4E9A"/>
    <w:rsid w:val="005D54F9"/>
    <w:rsid w:val="005D59EC"/>
    <w:rsid w:val="005D59F8"/>
    <w:rsid w:val="005E2178"/>
    <w:rsid w:val="005E2365"/>
    <w:rsid w:val="005E6E1E"/>
    <w:rsid w:val="005F05C0"/>
    <w:rsid w:val="005F1445"/>
    <w:rsid w:val="005F28C0"/>
    <w:rsid w:val="0060027A"/>
    <w:rsid w:val="00614B55"/>
    <w:rsid w:val="00615B35"/>
    <w:rsid w:val="00620CA3"/>
    <w:rsid w:val="00621A21"/>
    <w:rsid w:val="00630861"/>
    <w:rsid w:val="00631600"/>
    <w:rsid w:val="00631892"/>
    <w:rsid w:val="006319AB"/>
    <w:rsid w:val="0063277F"/>
    <w:rsid w:val="00632827"/>
    <w:rsid w:val="0063496E"/>
    <w:rsid w:val="00636314"/>
    <w:rsid w:val="00636B3E"/>
    <w:rsid w:val="00637526"/>
    <w:rsid w:val="0064153F"/>
    <w:rsid w:val="00642C98"/>
    <w:rsid w:val="006434D6"/>
    <w:rsid w:val="006449E3"/>
    <w:rsid w:val="006452BE"/>
    <w:rsid w:val="00657F85"/>
    <w:rsid w:val="006622B2"/>
    <w:rsid w:val="006626AE"/>
    <w:rsid w:val="00666837"/>
    <w:rsid w:val="00676DB2"/>
    <w:rsid w:val="00692C81"/>
    <w:rsid w:val="00696B6C"/>
    <w:rsid w:val="006A1A1B"/>
    <w:rsid w:val="006A659D"/>
    <w:rsid w:val="006A758E"/>
    <w:rsid w:val="006C5B7E"/>
    <w:rsid w:val="006C7866"/>
    <w:rsid w:val="006D0A1C"/>
    <w:rsid w:val="006D0AB5"/>
    <w:rsid w:val="006D1A15"/>
    <w:rsid w:val="006D1B61"/>
    <w:rsid w:val="006D404C"/>
    <w:rsid w:val="006D58A1"/>
    <w:rsid w:val="006D69D4"/>
    <w:rsid w:val="006D7FE4"/>
    <w:rsid w:val="006E1D5C"/>
    <w:rsid w:val="006E25F2"/>
    <w:rsid w:val="006F14CD"/>
    <w:rsid w:val="006F33DE"/>
    <w:rsid w:val="006F6965"/>
    <w:rsid w:val="006F7DA6"/>
    <w:rsid w:val="007038BD"/>
    <w:rsid w:val="00706855"/>
    <w:rsid w:val="007145D8"/>
    <w:rsid w:val="00721FE1"/>
    <w:rsid w:val="007223ED"/>
    <w:rsid w:val="007248D2"/>
    <w:rsid w:val="007252A9"/>
    <w:rsid w:val="00726A25"/>
    <w:rsid w:val="007354E6"/>
    <w:rsid w:val="00737431"/>
    <w:rsid w:val="007379CA"/>
    <w:rsid w:val="007401A7"/>
    <w:rsid w:val="0074230B"/>
    <w:rsid w:val="00743B5F"/>
    <w:rsid w:val="00744E9F"/>
    <w:rsid w:val="00746F46"/>
    <w:rsid w:val="00751698"/>
    <w:rsid w:val="007614BA"/>
    <w:rsid w:val="00762F4A"/>
    <w:rsid w:val="007637D2"/>
    <w:rsid w:val="00772F5D"/>
    <w:rsid w:val="00773D9D"/>
    <w:rsid w:val="00776092"/>
    <w:rsid w:val="007767DB"/>
    <w:rsid w:val="007775EB"/>
    <w:rsid w:val="00777666"/>
    <w:rsid w:val="007833E8"/>
    <w:rsid w:val="0078493F"/>
    <w:rsid w:val="00794414"/>
    <w:rsid w:val="0079549B"/>
    <w:rsid w:val="007A617A"/>
    <w:rsid w:val="007B00ED"/>
    <w:rsid w:val="007B1374"/>
    <w:rsid w:val="007B283D"/>
    <w:rsid w:val="007B333C"/>
    <w:rsid w:val="007B47D2"/>
    <w:rsid w:val="007D5347"/>
    <w:rsid w:val="007E6455"/>
    <w:rsid w:val="00804CB4"/>
    <w:rsid w:val="00817053"/>
    <w:rsid w:val="00824774"/>
    <w:rsid w:val="00830323"/>
    <w:rsid w:val="00830A32"/>
    <w:rsid w:val="00834CE1"/>
    <w:rsid w:val="00843681"/>
    <w:rsid w:val="008478C1"/>
    <w:rsid w:val="00847E05"/>
    <w:rsid w:val="00852F8F"/>
    <w:rsid w:val="008533E4"/>
    <w:rsid w:val="008566CA"/>
    <w:rsid w:val="00871CE5"/>
    <w:rsid w:val="0087293F"/>
    <w:rsid w:val="00884FEB"/>
    <w:rsid w:val="0088699C"/>
    <w:rsid w:val="00886A4A"/>
    <w:rsid w:val="00894A1B"/>
    <w:rsid w:val="008A5179"/>
    <w:rsid w:val="008A5A40"/>
    <w:rsid w:val="008A6A63"/>
    <w:rsid w:val="008B08B1"/>
    <w:rsid w:val="008B1C8F"/>
    <w:rsid w:val="008B33F2"/>
    <w:rsid w:val="008B626F"/>
    <w:rsid w:val="008C5630"/>
    <w:rsid w:val="008D1B71"/>
    <w:rsid w:val="008D4CE5"/>
    <w:rsid w:val="008F064C"/>
    <w:rsid w:val="008F2ECF"/>
    <w:rsid w:val="008F4E8B"/>
    <w:rsid w:val="009036BA"/>
    <w:rsid w:val="00906246"/>
    <w:rsid w:val="00912C77"/>
    <w:rsid w:val="00924A22"/>
    <w:rsid w:val="00931534"/>
    <w:rsid w:val="00932389"/>
    <w:rsid w:val="009331BC"/>
    <w:rsid w:val="00935E4C"/>
    <w:rsid w:val="009470D0"/>
    <w:rsid w:val="00950E97"/>
    <w:rsid w:val="00953159"/>
    <w:rsid w:val="00967EEF"/>
    <w:rsid w:val="00972436"/>
    <w:rsid w:val="0097749A"/>
    <w:rsid w:val="009812F0"/>
    <w:rsid w:val="00983A1C"/>
    <w:rsid w:val="00984181"/>
    <w:rsid w:val="009856CD"/>
    <w:rsid w:val="00990C36"/>
    <w:rsid w:val="009A626A"/>
    <w:rsid w:val="009B6427"/>
    <w:rsid w:val="009B7495"/>
    <w:rsid w:val="009B79C9"/>
    <w:rsid w:val="009C28E0"/>
    <w:rsid w:val="009C2B2E"/>
    <w:rsid w:val="009C50D1"/>
    <w:rsid w:val="009D194D"/>
    <w:rsid w:val="009D5D8E"/>
    <w:rsid w:val="009E045A"/>
    <w:rsid w:val="009E0481"/>
    <w:rsid w:val="009E105B"/>
    <w:rsid w:val="009E4B7A"/>
    <w:rsid w:val="009F09B8"/>
    <w:rsid w:val="009F2554"/>
    <w:rsid w:val="00A023D9"/>
    <w:rsid w:val="00A02BF3"/>
    <w:rsid w:val="00A031A9"/>
    <w:rsid w:val="00A06F24"/>
    <w:rsid w:val="00A07849"/>
    <w:rsid w:val="00A10CE1"/>
    <w:rsid w:val="00A17BDD"/>
    <w:rsid w:val="00A23F2C"/>
    <w:rsid w:val="00A25A0D"/>
    <w:rsid w:val="00A27EFE"/>
    <w:rsid w:val="00A3157F"/>
    <w:rsid w:val="00A420E6"/>
    <w:rsid w:val="00A479D9"/>
    <w:rsid w:val="00A50013"/>
    <w:rsid w:val="00A52C6D"/>
    <w:rsid w:val="00A60A58"/>
    <w:rsid w:val="00A74E1C"/>
    <w:rsid w:val="00A768C9"/>
    <w:rsid w:val="00A81B5B"/>
    <w:rsid w:val="00A8607E"/>
    <w:rsid w:val="00A8732B"/>
    <w:rsid w:val="00A87841"/>
    <w:rsid w:val="00A91963"/>
    <w:rsid w:val="00A91C3A"/>
    <w:rsid w:val="00A95B87"/>
    <w:rsid w:val="00AB6C04"/>
    <w:rsid w:val="00AC11D6"/>
    <w:rsid w:val="00AC18CE"/>
    <w:rsid w:val="00AC26BE"/>
    <w:rsid w:val="00AC29A9"/>
    <w:rsid w:val="00AD0174"/>
    <w:rsid w:val="00AD3C92"/>
    <w:rsid w:val="00AD67E4"/>
    <w:rsid w:val="00AD7953"/>
    <w:rsid w:val="00AE27EE"/>
    <w:rsid w:val="00B02FE9"/>
    <w:rsid w:val="00B11003"/>
    <w:rsid w:val="00B11753"/>
    <w:rsid w:val="00B16C7D"/>
    <w:rsid w:val="00B210C7"/>
    <w:rsid w:val="00B21AA2"/>
    <w:rsid w:val="00B24C67"/>
    <w:rsid w:val="00B32F4A"/>
    <w:rsid w:val="00B34E67"/>
    <w:rsid w:val="00B43F4A"/>
    <w:rsid w:val="00B51BB4"/>
    <w:rsid w:val="00B6127C"/>
    <w:rsid w:val="00B6156F"/>
    <w:rsid w:val="00B63CF4"/>
    <w:rsid w:val="00B641FA"/>
    <w:rsid w:val="00B64B4D"/>
    <w:rsid w:val="00B67C9F"/>
    <w:rsid w:val="00B75B02"/>
    <w:rsid w:val="00B801E1"/>
    <w:rsid w:val="00B85D01"/>
    <w:rsid w:val="00B87CA8"/>
    <w:rsid w:val="00B96073"/>
    <w:rsid w:val="00BA2966"/>
    <w:rsid w:val="00BA634B"/>
    <w:rsid w:val="00BA64CF"/>
    <w:rsid w:val="00BC35E8"/>
    <w:rsid w:val="00BC49E2"/>
    <w:rsid w:val="00BC7728"/>
    <w:rsid w:val="00BD1F61"/>
    <w:rsid w:val="00BD2A84"/>
    <w:rsid w:val="00BD4861"/>
    <w:rsid w:val="00BD5E4C"/>
    <w:rsid w:val="00BD683E"/>
    <w:rsid w:val="00BF1006"/>
    <w:rsid w:val="00BF2F27"/>
    <w:rsid w:val="00BF6BCE"/>
    <w:rsid w:val="00C02B59"/>
    <w:rsid w:val="00C07591"/>
    <w:rsid w:val="00C155A4"/>
    <w:rsid w:val="00C156B3"/>
    <w:rsid w:val="00C30531"/>
    <w:rsid w:val="00C314AE"/>
    <w:rsid w:val="00C32FDA"/>
    <w:rsid w:val="00C47AEB"/>
    <w:rsid w:val="00C519A1"/>
    <w:rsid w:val="00C55EE8"/>
    <w:rsid w:val="00C6269B"/>
    <w:rsid w:val="00C626DA"/>
    <w:rsid w:val="00C7049D"/>
    <w:rsid w:val="00C853E3"/>
    <w:rsid w:val="00C9043E"/>
    <w:rsid w:val="00C91024"/>
    <w:rsid w:val="00C9707C"/>
    <w:rsid w:val="00CA42A2"/>
    <w:rsid w:val="00CA4848"/>
    <w:rsid w:val="00CA4C8C"/>
    <w:rsid w:val="00CB21D9"/>
    <w:rsid w:val="00CB5EC8"/>
    <w:rsid w:val="00CB6CE0"/>
    <w:rsid w:val="00CC0E98"/>
    <w:rsid w:val="00CC107E"/>
    <w:rsid w:val="00CC2D5B"/>
    <w:rsid w:val="00CD2060"/>
    <w:rsid w:val="00CD3FC4"/>
    <w:rsid w:val="00CD7021"/>
    <w:rsid w:val="00CD7755"/>
    <w:rsid w:val="00CD78A3"/>
    <w:rsid w:val="00CE3687"/>
    <w:rsid w:val="00CF1B60"/>
    <w:rsid w:val="00CF32BD"/>
    <w:rsid w:val="00CF4A2A"/>
    <w:rsid w:val="00CF6ADB"/>
    <w:rsid w:val="00D00EA6"/>
    <w:rsid w:val="00D0563B"/>
    <w:rsid w:val="00D1654F"/>
    <w:rsid w:val="00D21F5B"/>
    <w:rsid w:val="00D23241"/>
    <w:rsid w:val="00D23C41"/>
    <w:rsid w:val="00D23DA2"/>
    <w:rsid w:val="00D2575C"/>
    <w:rsid w:val="00D26E01"/>
    <w:rsid w:val="00D30897"/>
    <w:rsid w:val="00D3135B"/>
    <w:rsid w:val="00D3423F"/>
    <w:rsid w:val="00D352B4"/>
    <w:rsid w:val="00D4014E"/>
    <w:rsid w:val="00D43AC9"/>
    <w:rsid w:val="00D52242"/>
    <w:rsid w:val="00D523F3"/>
    <w:rsid w:val="00D533FB"/>
    <w:rsid w:val="00D621E9"/>
    <w:rsid w:val="00D6234E"/>
    <w:rsid w:val="00D62F11"/>
    <w:rsid w:val="00D66F26"/>
    <w:rsid w:val="00D678DB"/>
    <w:rsid w:val="00D74109"/>
    <w:rsid w:val="00D7544E"/>
    <w:rsid w:val="00D81913"/>
    <w:rsid w:val="00D823EE"/>
    <w:rsid w:val="00D90440"/>
    <w:rsid w:val="00D907CB"/>
    <w:rsid w:val="00D915BF"/>
    <w:rsid w:val="00DA02F8"/>
    <w:rsid w:val="00DA4B1A"/>
    <w:rsid w:val="00DB01AC"/>
    <w:rsid w:val="00DB52AC"/>
    <w:rsid w:val="00DB6D14"/>
    <w:rsid w:val="00DC7757"/>
    <w:rsid w:val="00DE3E21"/>
    <w:rsid w:val="00DE4577"/>
    <w:rsid w:val="00DF3AD7"/>
    <w:rsid w:val="00E04773"/>
    <w:rsid w:val="00E104BB"/>
    <w:rsid w:val="00E13A76"/>
    <w:rsid w:val="00E16C4E"/>
    <w:rsid w:val="00E20129"/>
    <w:rsid w:val="00E25BA6"/>
    <w:rsid w:val="00E275DE"/>
    <w:rsid w:val="00E276DA"/>
    <w:rsid w:val="00E3018D"/>
    <w:rsid w:val="00E308AE"/>
    <w:rsid w:val="00E34625"/>
    <w:rsid w:val="00E43AA2"/>
    <w:rsid w:val="00E45CA1"/>
    <w:rsid w:val="00E462C0"/>
    <w:rsid w:val="00E549F9"/>
    <w:rsid w:val="00E60A09"/>
    <w:rsid w:val="00E60BF1"/>
    <w:rsid w:val="00E61995"/>
    <w:rsid w:val="00E61FC3"/>
    <w:rsid w:val="00E66432"/>
    <w:rsid w:val="00E760FC"/>
    <w:rsid w:val="00E76A95"/>
    <w:rsid w:val="00E77C10"/>
    <w:rsid w:val="00E85364"/>
    <w:rsid w:val="00E86619"/>
    <w:rsid w:val="00E9664D"/>
    <w:rsid w:val="00EA1762"/>
    <w:rsid w:val="00EA39D0"/>
    <w:rsid w:val="00EA3CF2"/>
    <w:rsid w:val="00EA6F25"/>
    <w:rsid w:val="00EB6018"/>
    <w:rsid w:val="00EC4717"/>
    <w:rsid w:val="00ED07EA"/>
    <w:rsid w:val="00ED3AA1"/>
    <w:rsid w:val="00ED4B9F"/>
    <w:rsid w:val="00ED534E"/>
    <w:rsid w:val="00EE43DD"/>
    <w:rsid w:val="00EE465F"/>
    <w:rsid w:val="00EF05DA"/>
    <w:rsid w:val="00EF41C3"/>
    <w:rsid w:val="00EF43DC"/>
    <w:rsid w:val="00F07327"/>
    <w:rsid w:val="00F13BE9"/>
    <w:rsid w:val="00F14B0B"/>
    <w:rsid w:val="00F16D46"/>
    <w:rsid w:val="00F23746"/>
    <w:rsid w:val="00F35B19"/>
    <w:rsid w:val="00F43DD4"/>
    <w:rsid w:val="00F44B3E"/>
    <w:rsid w:val="00F54DCE"/>
    <w:rsid w:val="00F6742F"/>
    <w:rsid w:val="00F73C19"/>
    <w:rsid w:val="00F74DB3"/>
    <w:rsid w:val="00F80EA9"/>
    <w:rsid w:val="00F856E3"/>
    <w:rsid w:val="00F85C5A"/>
    <w:rsid w:val="00F866CB"/>
    <w:rsid w:val="00F90544"/>
    <w:rsid w:val="00F91F2D"/>
    <w:rsid w:val="00F94236"/>
    <w:rsid w:val="00FA52CA"/>
    <w:rsid w:val="00FA718E"/>
    <w:rsid w:val="00FB27DF"/>
    <w:rsid w:val="00FB3CF5"/>
    <w:rsid w:val="00FB7958"/>
    <w:rsid w:val="00FC1645"/>
    <w:rsid w:val="00FE718A"/>
    <w:rsid w:val="00FF154E"/>
    <w:rsid w:val="00FF197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CA1F"/>
  <w14:defaultImageDpi w14:val="32767"/>
  <w15:chartTrackingRefBased/>
  <w15:docId w15:val="{1A45E5DB-8352-AB4D-9E10-6071272B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020"/>
    <w:pPr>
      <w:tabs>
        <w:tab w:val="center" w:pos="4680"/>
        <w:tab w:val="right" w:pos="9360"/>
      </w:tabs>
    </w:pPr>
  </w:style>
  <w:style w:type="character" w:customStyle="1" w:styleId="HeaderChar">
    <w:name w:val="Header Char"/>
    <w:basedOn w:val="DefaultParagraphFont"/>
    <w:link w:val="Header"/>
    <w:uiPriority w:val="99"/>
    <w:rsid w:val="003C1020"/>
  </w:style>
  <w:style w:type="paragraph" w:styleId="Footer">
    <w:name w:val="footer"/>
    <w:basedOn w:val="Normal"/>
    <w:link w:val="FooterChar"/>
    <w:uiPriority w:val="99"/>
    <w:unhideWhenUsed/>
    <w:rsid w:val="003C1020"/>
    <w:pPr>
      <w:tabs>
        <w:tab w:val="center" w:pos="4680"/>
        <w:tab w:val="right" w:pos="9360"/>
      </w:tabs>
    </w:pPr>
  </w:style>
  <w:style w:type="character" w:customStyle="1" w:styleId="FooterChar">
    <w:name w:val="Footer Char"/>
    <w:basedOn w:val="DefaultParagraphFont"/>
    <w:link w:val="Footer"/>
    <w:uiPriority w:val="99"/>
    <w:rsid w:val="003C1020"/>
  </w:style>
  <w:style w:type="table" w:styleId="TableGrid">
    <w:name w:val="Table Grid"/>
    <w:basedOn w:val="TableNormal"/>
    <w:uiPriority w:val="39"/>
    <w:rsid w:val="00DB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BEB"/>
    <w:pPr>
      <w:ind w:left="720"/>
      <w:contextualSpacing/>
    </w:pPr>
  </w:style>
  <w:style w:type="paragraph" w:styleId="BalloonText">
    <w:name w:val="Balloon Text"/>
    <w:basedOn w:val="Normal"/>
    <w:link w:val="BalloonTextChar"/>
    <w:uiPriority w:val="99"/>
    <w:semiHidden/>
    <w:unhideWhenUsed/>
    <w:rsid w:val="00B67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C9F"/>
    <w:rPr>
      <w:rFonts w:ascii="Segoe UI" w:hAnsi="Segoe UI" w:cs="Segoe UI"/>
      <w:sz w:val="18"/>
      <w:szCs w:val="18"/>
    </w:rPr>
  </w:style>
  <w:style w:type="paragraph" w:styleId="FootnoteText">
    <w:name w:val="footnote text"/>
    <w:basedOn w:val="Normal"/>
    <w:link w:val="FootnoteTextChar"/>
    <w:uiPriority w:val="99"/>
    <w:unhideWhenUsed/>
    <w:rsid w:val="007614BA"/>
    <w:rPr>
      <w:rFonts w:ascii="Times New Roman" w:eastAsia="Times New Roman" w:hAnsi="Times New Roman" w:cs="Times New Roman"/>
      <w:sz w:val="20"/>
      <w:szCs w:val="20"/>
      <w:lang w:val="el-GR" w:eastAsia="el-GR"/>
    </w:rPr>
  </w:style>
  <w:style w:type="character" w:customStyle="1" w:styleId="FootnoteTextChar">
    <w:name w:val="Footnote Text Char"/>
    <w:basedOn w:val="DefaultParagraphFont"/>
    <w:link w:val="FootnoteText"/>
    <w:uiPriority w:val="99"/>
    <w:rsid w:val="007614BA"/>
    <w:rPr>
      <w:rFonts w:ascii="Times New Roman" w:eastAsia="Times New Roman" w:hAnsi="Times New Roman" w:cs="Times New Roman"/>
      <w:sz w:val="20"/>
      <w:szCs w:val="20"/>
      <w:lang w:val="el-GR" w:eastAsia="el-GR"/>
    </w:rPr>
  </w:style>
  <w:style w:type="character" w:styleId="FootnoteReference">
    <w:name w:val="footnote reference"/>
    <w:uiPriority w:val="99"/>
    <w:semiHidden/>
    <w:unhideWhenUsed/>
    <w:rsid w:val="007614BA"/>
    <w:rPr>
      <w:vertAlign w:val="superscript"/>
    </w:rPr>
  </w:style>
  <w:style w:type="paragraph" w:customStyle="1" w:styleId="AegeanNormal">
    <w:name w:val="Aegean Normal"/>
    <w:basedOn w:val="Normal"/>
    <w:link w:val="AegeanNormalChar"/>
    <w:autoRedefine/>
    <w:qFormat/>
    <w:rsid w:val="002063D6"/>
    <w:pPr>
      <w:spacing w:after="240" w:line="276" w:lineRule="auto"/>
      <w:ind w:right="6"/>
      <w:jc w:val="both"/>
    </w:pPr>
    <w:rPr>
      <w:rFonts w:ascii="Calibri" w:hAnsi="Calibri"/>
      <w:color w:val="243587"/>
      <w:sz w:val="22"/>
      <w:szCs w:val="19"/>
      <w:lang w:val="el-GR"/>
    </w:rPr>
  </w:style>
  <w:style w:type="character" w:customStyle="1" w:styleId="AegeanNormalChar">
    <w:name w:val="Aegean Normal Char"/>
    <w:basedOn w:val="DefaultParagraphFont"/>
    <w:link w:val="AegeanNormal"/>
    <w:rsid w:val="002063D6"/>
    <w:rPr>
      <w:rFonts w:ascii="Calibri" w:hAnsi="Calibri"/>
      <w:color w:val="243587"/>
      <w:sz w:val="22"/>
      <w:szCs w:val="19"/>
      <w:lang w:val="el-GR"/>
    </w:rPr>
  </w:style>
  <w:style w:type="character" w:styleId="CommentReference">
    <w:name w:val="annotation reference"/>
    <w:basedOn w:val="DefaultParagraphFont"/>
    <w:uiPriority w:val="99"/>
    <w:semiHidden/>
    <w:unhideWhenUsed/>
    <w:rsid w:val="007833E8"/>
    <w:rPr>
      <w:sz w:val="16"/>
      <w:szCs w:val="16"/>
    </w:rPr>
  </w:style>
  <w:style w:type="paragraph" w:styleId="CommentText">
    <w:name w:val="annotation text"/>
    <w:basedOn w:val="Normal"/>
    <w:link w:val="CommentTextChar"/>
    <w:uiPriority w:val="99"/>
    <w:unhideWhenUsed/>
    <w:rsid w:val="007833E8"/>
    <w:rPr>
      <w:sz w:val="20"/>
      <w:szCs w:val="20"/>
    </w:rPr>
  </w:style>
  <w:style w:type="character" w:customStyle="1" w:styleId="CommentTextChar">
    <w:name w:val="Comment Text Char"/>
    <w:basedOn w:val="DefaultParagraphFont"/>
    <w:link w:val="CommentText"/>
    <w:uiPriority w:val="99"/>
    <w:rsid w:val="007833E8"/>
    <w:rPr>
      <w:sz w:val="20"/>
      <w:szCs w:val="20"/>
    </w:rPr>
  </w:style>
  <w:style w:type="paragraph" w:styleId="CommentSubject">
    <w:name w:val="annotation subject"/>
    <w:basedOn w:val="CommentText"/>
    <w:next w:val="CommentText"/>
    <w:link w:val="CommentSubjectChar"/>
    <w:uiPriority w:val="99"/>
    <w:semiHidden/>
    <w:unhideWhenUsed/>
    <w:rsid w:val="006F6965"/>
    <w:rPr>
      <w:b/>
      <w:bCs/>
    </w:rPr>
  </w:style>
  <w:style w:type="character" w:customStyle="1" w:styleId="CommentSubjectChar">
    <w:name w:val="Comment Subject Char"/>
    <w:basedOn w:val="CommentTextChar"/>
    <w:link w:val="CommentSubject"/>
    <w:uiPriority w:val="99"/>
    <w:semiHidden/>
    <w:rsid w:val="006F6965"/>
    <w:rPr>
      <w:b/>
      <w:bCs/>
      <w:sz w:val="20"/>
      <w:szCs w:val="20"/>
    </w:rPr>
  </w:style>
  <w:style w:type="character" w:customStyle="1" w:styleId="fontstyle01">
    <w:name w:val="fontstyle01"/>
    <w:basedOn w:val="DefaultParagraphFont"/>
    <w:rsid w:val="00AC26BE"/>
    <w:rPr>
      <w:rFonts w:ascii="Knowledge-Regular" w:hAnsi="Knowledge-Regular" w:hint="default"/>
      <w:b w:val="0"/>
      <w:bCs w:val="0"/>
      <w:i w:val="0"/>
      <w:iCs w:val="0"/>
      <w:color w:val="000000"/>
      <w:sz w:val="18"/>
      <w:szCs w:val="18"/>
    </w:rPr>
  </w:style>
  <w:style w:type="character" w:styleId="Strong">
    <w:name w:val="Strong"/>
    <w:basedOn w:val="DefaultParagraphFont"/>
    <w:uiPriority w:val="22"/>
    <w:qFormat/>
    <w:rsid w:val="00EE43DD"/>
    <w:rPr>
      <w:b/>
      <w:bCs/>
    </w:rPr>
  </w:style>
  <w:style w:type="paragraph" w:styleId="Revision">
    <w:name w:val="Revision"/>
    <w:hidden/>
    <w:uiPriority w:val="99"/>
    <w:semiHidden/>
    <w:rsid w:val="00C55EE8"/>
  </w:style>
  <w:style w:type="character" w:styleId="Emphasis">
    <w:name w:val="Emphasis"/>
    <w:basedOn w:val="DefaultParagraphFont"/>
    <w:uiPriority w:val="20"/>
    <w:qFormat/>
    <w:rsid w:val="004E7540"/>
    <w:rPr>
      <w:i/>
      <w:iCs/>
    </w:rPr>
  </w:style>
  <w:style w:type="paragraph" w:styleId="EndnoteText">
    <w:name w:val="endnote text"/>
    <w:basedOn w:val="Normal"/>
    <w:link w:val="EndnoteTextChar"/>
    <w:uiPriority w:val="99"/>
    <w:semiHidden/>
    <w:unhideWhenUsed/>
    <w:rsid w:val="00BD2A84"/>
    <w:rPr>
      <w:sz w:val="20"/>
      <w:szCs w:val="20"/>
    </w:rPr>
  </w:style>
  <w:style w:type="character" w:customStyle="1" w:styleId="EndnoteTextChar">
    <w:name w:val="Endnote Text Char"/>
    <w:basedOn w:val="DefaultParagraphFont"/>
    <w:link w:val="EndnoteText"/>
    <w:uiPriority w:val="99"/>
    <w:semiHidden/>
    <w:rsid w:val="00BD2A84"/>
    <w:rPr>
      <w:sz w:val="20"/>
      <w:szCs w:val="20"/>
    </w:rPr>
  </w:style>
  <w:style w:type="character" w:styleId="EndnoteReference">
    <w:name w:val="endnote reference"/>
    <w:basedOn w:val="DefaultParagraphFont"/>
    <w:uiPriority w:val="99"/>
    <w:semiHidden/>
    <w:unhideWhenUsed/>
    <w:rsid w:val="00BD2A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1803">
      <w:bodyDiv w:val="1"/>
      <w:marLeft w:val="0"/>
      <w:marRight w:val="0"/>
      <w:marTop w:val="0"/>
      <w:marBottom w:val="0"/>
      <w:divBdr>
        <w:top w:val="none" w:sz="0" w:space="0" w:color="auto"/>
        <w:left w:val="none" w:sz="0" w:space="0" w:color="auto"/>
        <w:bottom w:val="none" w:sz="0" w:space="0" w:color="auto"/>
        <w:right w:val="none" w:sz="0" w:space="0" w:color="auto"/>
      </w:divBdr>
    </w:div>
    <w:div w:id="219707564">
      <w:bodyDiv w:val="1"/>
      <w:marLeft w:val="0"/>
      <w:marRight w:val="0"/>
      <w:marTop w:val="0"/>
      <w:marBottom w:val="0"/>
      <w:divBdr>
        <w:top w:val="none" w:sz="0" w:space="0" w:color="auto"/>
        <w:left w:val="none" w:sz="0" w:space="0" w:color="auto"/>
        <w:bottom w:val="none" w:sz="0" w:space="0" w:color="auto"/>
        <w:right w:val="none" w:sz="0" w:space="0" w:color="auto"/>
      </w:divBdr>
    </w:div>
    <w:div w:id="224073924">
      <w:bodyDiv w:val="1"/>
      <w:marLeft w:val="0"/>
      <w:marRight w:val="0"/>
      <w:marTop w:val="0"/>
      <w:marBottom w:val="0"/>
      <w:divBdr>
        <w:top w:val="none" w:sz="0" w:space="0" w:color="auto"/>
        <w:left w:val="none" w:sz="0" w:space="0" w:color="auto"/>
        <w:bottom w:val="none" w:sz="0" w:space="0" w:color="auto"/>
        <w:right w:val="none" w:sz="0" w:space="0" w:color="auto"/>
      </w:divBdr>
    </w:div>
    <w:div w:id="362438439">
      <w:bodyDiv w:val="1"/>
      <w:marLeft w:val="0"/>
      <w:marRight w:val="0"/>
      <w:marTop w:val="0"/>
      <w:marBottom w:val="0"/>
      <w:divBdr>
        <w:top w:val="none" w:sz="0" w:space="0" w:color="auto"/>
        <w:left w:val="none" w:sz="0" w:space="0" w:color="auto"/>
        <w:bottom w:val="none" w:sz="0" w:space="0" w:color="auto"/>
        <w:right w:val="none" w:sz="0" w:space="0" w:color="auto"/>
      </w:divBdr>
    </w:div>
    <w:div w:id="363988798">
      <w:bodyDiv w:val="1"/>
      <w:marLeft w:val="0"/>
      <w:marRight w:val="0"/>
      <w:marTop w:val="0"/>
      <w:marBottom w:val="0"/>
      <w:divBdr>
        <w:top w:val="none" w:sz="0" w:space="0" w:color="auto"/>
        <w:left w:val="none" w:sz="0" w:space="0" w:color="auto"/>
        <w:bottom w:val="none" w:sz="0" w:space="0" w:color="auto"/>
        <w:right w:val="none" w:sz="0" w:space="0" w:color="auto"/>
      </w:divBdr>
    </w:div>
    <w:div w:id="426082291">
      <w:bodyDiv w:val="1"/>
      <w:marLeft w:val="0"/>
      <w:marRight w:val="0"/>
      <w:marTop w:val="0"/>
      <w:marBottom w:val="0"/>
      <w:divBdr>
        <w:top w:val="none" w:sz="0" w:space="0" w:color="auto"/>
        <w:left w:val="none" w:sz="0" w:space="0" w:color="auto"/>
        <w:bottom w:val="none" w:sz="0" w:space="0" w:color="auto"/>
        <w:right w:val="none" w:sz="0" w:space="0" w:color="auto"/>
      </w:divBdr>
    </w:div>
    <w:div w:id="565654291">
      <w:bodyDiv w:val="1"/>
      <w:marLeft w:val="0"/>
      <w:marRight w:val="0"/>
      <w:marTop w:val="0"/>
      <w:marBottom w:val="0"/>
      <w:divBdr>
        <w:top w:val="none" w:sz="0" w:space="0" w:color="auto"/>
        <w:left w:val="none" w:sz="0" w:space="0" w:color="auto"/>
        <w:bottom w:val="none" w:sz="0" w:space="0" w:color="auto"/>
        <w:right w:val="none" w:sz="0" w:space="0" w:color="auto"/>
      </w:divBdr>
    </w:div>
    <w:div w:id="616183103">
      <w:bodyDiv w:val="1"/>
      <w:marLeft w:val="0"/>
      <w:marRight w:val="0"/>
      <w:marTop w:val="0"/>
      <w:marBottom w:val="0"/>
      <w:divBdr>
        <w:top w:val="none" w:sz="0" w:space="0" w:color="auto"/>
        <w:left w:val="none" w:sz="0" w:space="0" w:color="auto"/>
        <w:bottom w:val="none" w:sz="0" w:space="0" w:color="auto"/>
        <w:right w:val="none" w:sz="0" w:space="0" w:color="auto"/>
      </w:divBdr>
    </w:div>
    <w:div w:id="671101149">
      <w:bodyDiv w:val="1"/>
      <w:marLeft w:val="0"/>
      <w:marRight w:val="0"/>
      <w:marTop w:val="0"/>
      <w:marBottom w:val="0"/>
      <w:divBdr>
        <w:top w:val="none" w:sz="0" w:space="0" w:color="auto"/>
        <w:left w:val="none" w:sz="0" w:space="0" w:color="auto"/>
        <w:bottom w:val="none" w:sz="0" w:space="0" w:color="auto"/>
        <w:right w:val="none" w:sz="0" w:space="0" w:color="auto"/>
      </w:divBdr>
    </w:div>
    <w:div w:id="696199865">
      <w:bodyDiv w:val="1"/>
      <w:marLeft w:val="0"/>
      <w:marRight w:val="0"/>
      <w:marTop w:val="0"/>
      <w:marBottom w:val="0"/>
      <w:divBdr>
        <w:top w:val="none" w:sz="0" w:space="0" w:color="auto"/>
        <w:left w:val="none" w:sz="0" w:space="0" w:color="auto"/>
        <w:bottom w:val="none" w:sz="0" w:space="0" w:color="auto"/>
        <w:right w:val="none" w:sz="0" w:space="0" w:color="auto"/>
      </w:divBdr>
    </w:div>
    <w:div w:id="1173422592">
      <w:bodyDiv w:val="1"/>
      <w:marLeft w:val="0"/>
      <w:marRight w:val="0"/>
      <w:marTop w:val="0"/>
      <w:marBottom w:val="0"/>
      <w:divBdr>
        <w:top w:val="none" w:sz="0" w:space="0" w:color="auto"/>
        <w:left w:val="none" w:sz="0" w:space="0" w:color="auto"/>
        <w:bottom w:val="none" w:sz="0" w:space="0" w:color="auto"/>
        <w:right w:val="none" w:sz="0" w:space="0" w:color="auto"/>
      </w:divBdr>
    </w:div>
    <w:div w:id="1187645367">
      <w:bodyDiv w:val="1"/>
      <w:marLeft w:val="0"/>
      <w:marRight w:val="0"/>
      <w:marTop w:val="0"/>
      <w:marBottom w:val="0"/>
      <w:divBdr>
        <w:top w:val="none" w:sz="0" w:space="0" w:color="auto"/>
        <w:left w:val="none" w:sz="0" w:space="0" w:color="auto"/>
        <w:bottom w:val="none" w:sz="0" w:space="0" w:color="auto"/>
        <w:right w:val="none" w:sz="0" w:space="0" w:color="auto"/>
      </w:divBdr>
    </w:div>
    <w:div w:id="1205559691">
      <w:bodyDiv w:val="1"/>
      <w:marLeft w:val="0"/>
      <w:marRight w:val="0"/>
      <w:marTop w:val="0"/>
      <w:marBottom w:val="0"/>
      <w:divBdr>
        <w:top w:val="none" w:sz="0" w:space="0" w:color="auto"/>
        <w:left w:val="none" w:sz="0" w:space="0" w:color="auto"/>
        <w:bottom w:val="none" w:sz="0" w:space="0" w:color="auto"/>
        <w:right w:val="none" w:sz="0" w:space="0" w:color="auto"/>
      </w:divBdr>
    </w:div>
    <w:div w:id="1241716008">
      <w:bodyDiv w:val="1"/>
      <w:marLeft w:val="0"/>
      <w:marRight w:val="0"/>
      <w:marTop w:val="0"/>
      <w:marBottom w:val="0"/>
      <w:divBdr>
        <w:top w:val="none" w:sz="0" w:space="0" w:color="auto"/>
        <w:left w:val="none" w:sz="0" w:space="0" w:color="auto"/>
        <w:bottom w:val="none" w:sz="0" w:space="0" w:color="auto"/>
        <w:right w:val="none" w:sz="0" w:space="0" w:color="auto"/>
      </w:divBdr>
    </w:div>
    <w:div w:id="1260984444">
      <w:bodyDiv w:val="1"/>
      <w:marLeft w:val="0"/>
      <w:marRight w:val="0"/>
      <w:marTop w:val="0"/>
      <w:marBottom w:val="0"/>
      <w:divBdr>
        <w:top w:val="none" w:sz="0" w:space="0" w:color="auto"/>
        <w:left w:val="none" w:sz="0" w:space="0" w:color="auto"/>
        <w:bottom w:val="none" w:sz="0" w:space="0" w:color="auto"/>
        <w:right w:val="none" w:sz="0" w:space="0" w:color="auto"/>
      </w:divBdr>
    </w:div>
    <w:div w:id="1405880879">
      <w:bodyDiv w:val="1"/>
      <w:marLeft w:val="0"/>
      <w:marRight w:val="0"/>
      <w:marTop w:val="0"/>
      <w:marBottom w:val="0"/>
      <w:divBdr>
        <w:top w:val="none" w:sz="0" w:space="0" w:color="auto"/>
        <w:left w:val="none" w:sz="0" w:space="0" w:color="auto"/>
        <w:bottom w:val="none" w:sz="0" w:space="0" w:color="auto"/>
        <w:right w:val="none" w:sz="0" w:space="0" w:color="auto"/>
      </w:divBdr>
    </w:div>
    <w:div w:id="1482386354">
      <w:bodyDiv w:val="1"/>
      <w:marLeft w:val="0"/>
      <w:marRight w:val="0"/>
      <w:marTop w:val="0"/>
      <w:marBottom w:val="0"/>
      <w:divBdr>
        <w:top w:val="none" w:sz="0" w:space="0" w:color="auto"/>
        <w:left w:val="none" w:sz="0" w:space="0" w:color="auto"/>
        <w:bottom w:val="none" w:sz="0" w:space="0" w:color="auto"/>
        <w:right w:val="none" w:sz="0" w:space="0" w:color="auto"/>
      </w:divBdr>
    </w:div>
    <w:div w:id="1663657236">
      <w:bodyDiv w:val="1"/>
      <w:marLeft w:val="0"/>
      <w:marRight w:val="0"/>
      <w:marTop w:val="0"/>
      <w:marBottom w:val="0"/>
      <w:divBdr>
        <w:top w:val="none" w:sz="0" w:space="0" w:color="auto"/>
        <w:left w:val="none" w:sz="0" w:space="0" w:color="auto"/>
        <w:bottom w:val="none" w:sz="0" w:space="0" w:color="auto"/>
        <w:right w:val="none" w:sz="0" w:space="0" w:color="auto"/>
      </w:divBdr>
    </w:div>
    <w:div w:id="2093158065">
      <w:bodyDiv w:val="1"/>
      <w:marLeft w:val="0"/>
      <w:marRight w:val="0"/>
      <w:marTop w:val="0"/>
      <w:marBottom w:val="0"/>
      <w:divBdr>
        <w:top w:val="none" w:sz="0" w:space="0" w:color="auto"/>
        <w:left w:val="none" w:sz="0" w:space="0" w:color="auto"/>
        <w:bottom w:val="none" w:sz="0" w:space="0" w:color="auto"/>
        <w:right w:val="none" w:sz="0" w:space="0" w:color="auto"/>
      </w:divBdr>
    </w:div>
    <w:div w:id="214160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Department xmlns="bef9ce95-d731-4245-ac9f-3fdcfde03d2c">238</SDepartment>
    <SListSearchId xmlns="bef9ce95-d731-4245-ac9f-3fdcfde03d2c">3</SListSearchId>
    <Tag1 xmlns="bef9ce95-d731-4245-ac9f-3fdcfde03d2c">17</Tag1>
    <DocumentDate xmlns="bef9ce95-d731-4245-ac9f-3fdcfde03d2c">2022-08-16T21:00:00+00:00</DocumentDate>
    <Tag2 xmlns="bef9ce95-d731-4245-ac9f-3fdcfde03d2c" xsi:nil="true"/>
    <Tag3 xmlns="bef9ce95-d731-4245-ac9f-3fdcfde03d2c" xsi:nil="true"/>
    <SMDepartments xmlns="bef9ce95-d731-4245-ac9f-3fdcfde03d2c">
      <Value>238</Value>
    </SMDepartments>
    <PublicDocument xmlns="bef9ce95-d731-4245-ac9f-3fdcfde03d2c">true</PublicDocument>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Version="2003"/>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C023711838AA48BE0D44C1AA7ED9BB" ma:contentTypeVersion="32" ma:contentTypeDescription="Create a new document." ma:contentTypeScope="" ma:versionID="2833f3930ffad23529bf114f8c7cfb7f">
  <xsd:schema xmlns:xsd="http://www.w3.org/2001/XMLSchema" xmlns:xs="http://www.w3.org/2001/XMLSchema" xmlns:p="http://schemas.microsoft.com/office/2006/metadata/properties" xmlns:ns2="bef9ce95-d731-4245-ac9f-3fdcfde03d2c" xmlns:ns3="bae7db81-8a76-49dc-873a-2cf985890e39" targetNamespace="http://schemas.microsoft.com/office/2006/metadata/properties" ma:root="true" ma:fieldsID="96921e2a95f66e961eadcef473e94660" ns2:_="" ns3:_="">
    <xsd:import namespace="bef9ce95-d731-4245-ac9f-3fdcfde03d2c"/>
    <xsd:import namespace="bae7db81-8a76-49dc-873a-2cf985890e39"/>
    <xsd:element name="properties">
      <xsd:complexType>
        <xsd:sequence>
          <xsd:element name="documentManagement">
            <xsd:complexType>
              <xsd:all>
                <xsd:element ref="ns2:DocumentDate"/>
                <xsd:element ref="ns2:PublicDocument" minOccurs="0"/>
                <xsd:element ref="ns2:SDepartment"/>
                <xsd:element ref="ns2:Tag1" minOccurs="0"/>
                <xsd:element ref="ns2:Tag1_x003a_Title" minOccurs="0"/>
                <xsd:element ref="ns2:Tag1_x003a_ID" minOccurs="0"/>
                <xsd:element ref="ns2:Tag2" minOccurs="0"/>
                <xsd:element ref="ns2:Tag2_x003a_Title" minOccurs="0"/>
                <xsd:element ref="ns2:Tag2_x003a_ID" minOccurs="0"/>
                <xsd:element ref="ns2:Tag3" minOccurs="0"/>
                <xsd:element ref="ns2:Tag3_x003a_ID" minOccurs="0"/>
                <xsd:element ref="ns2:Tag3_x003a_Title" minOccurs="0"/>
                <xsd:element ref="ns3:SDepartment_x003a_Title" minOccurs="0"/>
                <xsd:element ref="ns3:SDepartment_x003a_SAPId" minOccurs="0"/>
                <xsd:element ref="ns3:SDepartment_x003a_ID" minOccurs="0"/>
                <xsd:element ref="ns2:SListSearchId" minOccurs="0"/>
                <xsd:element ref="ns2:SMDepartments" minOccurs="0"/>
                <xsd:element ref="ns3:SMDepartments_x003a_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ce95-d731-4245-ac9f-3fdcfde03d2c" elementFormDefault="qualified">
    <xsd:import namespace="http://schemas.microsoft.com/office/2006/documentManagement/types"/>
    <xsd:import namespace="http://schemas.microsoft.com/office/infopath/2007/PartnerControls"/>
    <xsd:element name="DocumentDate" ma:index="8" ma:displayName="Document Date" ma:default="[today]" ma:format="DateOnly" ma:internalName="DocumentDate">
      <xsd:simpleType>
        <xsd:restriction base="dms:DateTime"/>
      </xsd:simpleType>
    </xsd:element>
    <xsd:element name="PublicDocument" ma:index="9" nillable="true" ma:displayName="Public Document" ma:default="1" ma:internalName="PublicDocument">
      <xsd:simpleType>
        <xsd:restriction base="dms:Boolean"/>
      </xsd:simpleType>
    </xsd:element>
    <xsd:element name="SDepartment" ma:index="10" ma:displayName="Department" ma:list="{6546078e-5d16-4dc2-8a5a-e55a99ec455c}" ma:internalName="SDepartment" ma:readOnly="false" ma:showField="Title" ma:web="bef9ce95-d731-4245-ac9f-3fdcfde03d2c">
      <xsd:simpleType>
        <xsd:restriction base="dms:Lookup"/>
      </xsd:simpleType>
    </xsd:element>
    <xsd:element name="Tag1" ma:index="11" nillable="true" ma:displayName="Tag1" ma:list="{44565704-0632-486c-bc36-93b79014d7ea}" ma:internalName="_x0054_ag1" ma:showField="Title" ma:web="bef9ce95-d731-4245-ac9f-3fdcfde03d2c">
      <xsd:simpleType>
        <xsd:restriction base="dms:Lookup"/>
      </xsd:simpleType>
    </xsd:element>
    <xsd:element name="Tag1_x003a_Title" ma:index="12" nillable="true" ma:displayName="Tag1:Title" ma:list="{44565704-0632-486c-bc36-93b79014d7ea}" ma:internalName="Tag1_x003A_Title" ma:readOnly="true" ma:showField="Title" ma:web="bef9ce95-d731-4245-ac9f-3fdcfde03d2c">
      <xsd:simpleType>
        <xsd:restriction base="dms:Lookup"/>
      </xsd:simpleType>
    </xsd:element>
    <xsd:element name="Tag1_x003a_ID" ma:index="13" nillable="true" ma:displayName="Tag1:ID" ma:list="{44565704-0632-486c-bc36-93b79014d7ea}" ma:internalName="Tag1_x003A_ID" ma:readOnly="true" ma:showField="ID" ma:web="bef9ce95-d731-4245-ac9f-3fdcfde03d2c">
      <xsd:simpleType>
        <xsd:restriction base="dms:Lookup"/>
      </xsd:simpleType>
    </xsd:element>
    <xsd:element name="Tag2" ma:index="14" nillable="true" ma:displayName="Tag2" ma:list="{44565704-0632-486c-bc36-93b79014d7ea}" ma:internalName="_x0054_ag2" ma:showField="Title" ma:web="bef9ce95-d731-4245-ac9f-3fdcfde03d2c">
      <xsd:simpleType>
        <xsd:restriction base="dms:Lookup"/>
      </xsd:simpleType>
    </xsd:element>
    <xsd:element name="Tag2_x003a_Title" ma:index="15" nillable="true" ma:displayName="Tag2:Title" ma:list="{44565704-0632-486c-bc36-93b79014d7ea}" ma:internalName="Tag2_x003A_Title" ma:readOnly="true" ma:showField="Title" ma:web="bef9ce95-d731-4245-ac9f-3fdcfde03d2c">
      <xsd:simpleType>
        <xsd:restriction base="dms:Lookup"/>
      </xsd:simpleType>
    </xsd:element>
    <xsd:element name="Tag2_x003a_ID" ma:index="16" nillable="true" ma:displayName="Tag2:ID" ma:list="{44565704-0632-486c-bc36-93b79014d7ea}" ma:internalName="Tag2_x003A_ID" ma:readOnly="true" ma:showField="ID" ma:web="bef9ce95-d731-4245-ac9f-3fdcfde03d2c">
      <xsd:simpleType>
        <xsd:restriction base="dms:Lookup"/>
      </xsd:simpleType>
    </xsd:element>
    <xsd:element name="Tag3" ma:index="17" nillable="true" ma:displayName="Tag3" ma:list="{44565704-0632-486c-bc36-93b79014d7ea}" ma:internalName="_x0054_ag3" ma:showField="Title" ma:web="bef9ce95-d731-4245-ac9f-3fdcfde03d2c">
      <xsd:simpleType>
        <xsd:restriction base="dms:Lookup"/>
      </xsd:simpleType>
    </xsd:element>
    <xsd:element name="Tag3_x003a_ID" ma:index="18" nillable="true" ma:displayName="Tag3:ID" ma:list="{44565704-0632-486c-bc36-93b79014d7ea}" ma:internalName="Tag3_x003A_ID" ma:readOnly="true" ma:showField="ID" ma:web="bef9ce95-d731-4245-ac9f-3fdcfde03d2c">
      <xsd:simpleType>
        <xsd:restriction base="dms:Lookup"/>
      </xsd:simpleType>
    </xsd:element>
    <xsd:element name="Tag3_x003a_Title" ma:index="19" nillable="true" ma:displayName="Tag3:Title" ma:list="{44565704-0632-486c-bc36-93b79014d7ea}" ma:internalName="Tag3_x003A_Title" ma:readOnly="true" ma:showField="Title" ma:web="bef9ce95-d731-4245-ac9f-3fdcfde03d2c">
      <xsd:simpleType>
        <xsd:restriction base="dms:Lookup"/>
      </xsd:simpleType>
    </xsd:element>
    <xsd:element name="SListSearchId" ma:index="23" nillable="true" ma:displayName="SListSearchId" ma:decimals="0" ma:default="3" ma:internalName="SListSearchId" ma:percentage="FALSE">
      <xsd:simpleType>
        <xsd:restriction base="dms:Number">
          <xsd:minInclusive value="0"/>
        </xsd:restriction>
      </xsd:simpleType>
    </xsd:element>
    <xsd:element name="SMDepartments" ma:index="24" nillable="true" ma:displayName="SMDepartments" ma:list="{6546078e-5d16-4dc2-8a5a-e55a99ec455c}" ma:internalName="SMDepartments" ma:readOnly="false" ma:showField="Title" ma:web="bef9ce95-d731-4245-ac9f-3fdcfde03d2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7db81-8a76-49dc-873a-2cf985890e39" elementFormDefault="qualified">
    <xsd:import namespace="http://schemas.microsoft.com/office/2006/documentManagement/types"/>
    <xsd:import namespace="http://schemas.microsoft.com/office/infopath/2007/PartnerControls"/>
    <xsd:element name="SDepartment_x003a_Title" ma:index="20" nillable="true" ma:displayName="SDepartment:Title" ma:list="{6546078e-5d16-4dc2-8a5a-e55a99ec455c}" ma:internalName="SDepartment_x003a_Title" ma:readOnly="true" ma:showField="Title" ma:web="bef9ce95-d731-4245-ac9f-3fdcfde03d2c">
      <xsd:simpleType>
        <xsd:restriction base="dms:Lookup"/>
      </xsd:simpleType>
    </xsd:element>
    <xsd:element name="SDepartment_x003a_SAPId" ma:index="21" nillable="true" ma:displayName="SDepartment:SAPId" ma:list="{6546078e-5d16-4dc2-8a5a-e55a99ec455c}" ma:internalName="SDepartment_x003a_SAPId" ma:readOnly="true" ma:showField="SAPId" ma:web="bef9ce95-d731-4245-ac9f-3fdcfde03d2c">
      <xsd:simpleType>
        <xsd:restriction base="dms:Lookup"/>
      </xsd:simpleType>
    </xsd:element>
    <xsd:element name="SDepartment_x003a_ID" ma:index="22" nillable="true" ma:displayName="SDepartment:ID" ma:list="{6546078e-5d16-4dc2-8a5a-e55a99ec455c}" ma:internalName="SDepartment_x003a_ID" ma:readOnly="true" ma:showField="ID" ma:web="bef9ce95-d731-4245-ac9f-3fdcfde03d2c">
      <xsd:simpleType>
        <xsd:restriction base="dms:Lookup"/>
      </xsd:simpleType>
    </xsd:element>
    <xsd:element name="SMDepartments_x003a_ID" ma:index="25" nillable="true" ma:displayName="SMDepartments:ID" ma:list="{6546078e-5d16-4dc2-8a5a-e55a99ec455c}" ma:internalName="SMDepartments_x003a_ID" ma:readOnly="true" ma:showField="ID" ma:web="bef9ce95-d731-4245-ac9f-3fdcfde03d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DB18D-C798-44BF-B72C-5B9770970A31}">
  <ds:schemaRefs>
    <ds:schemaRef ds:uri="http://schemas.microsoft.com/office/2006/metadata/properties"/>
    <ds:schemaRef ds:uri="http://schemas.microsoft.com/office/infopath/2007/PartnerControls"/>
    <ds:schemaRef ds:uri="bef9ce95-d731-4245-ac9f-3fdcfde03d2c"/>
  </ds:schemaRefs>
</ds:datastoreItem>
</file>

<file path=customXml/itemProps2.xml><?xml version="1.0" encoding="utf-8"?>
<ds:datastoreItem xmlns:ds="http://schemas.openxmlformats.org/officeDocument/2006/customXml" ds:itemID="{B59486E6-E175-4E6B-B094-AB40B7DBEF61}">
  <ds:schemaRefs>
    <ds:schemaRef ds:uri="http://schemas.openxmlformats.org/officeDocument/2006/bibliography"/>
  </ds:schemaRefs>
</ds:datastoreItem>
</file>

<file path=customXml/itemProps3.xml><?xml version="1.0" encoding="utf-8"?>
<ds:datastoreItem xmlns:ds="http://schemas.openxmlformats.org/officeDocument/2006/customXml" ds:itemID="{4FF1FB9E-3840-4E10-9E2C-6CC68A8005AF}">
  <ds:schemaRefs>
    <ds:schemaRef ds:uri="http://schemas.microsoft.com/sharepoint/v3/contenttype/forms"/>
  </ds:schemaRefs>
</ds:datastoreItem>
</file>

<file path=customXml/itemProps4.xml><?xml version="1.0" encoding="utf-8"?>
<ds:datastoreItem xmlns:ds="http://schemas.openxmlformats.org/officeDocument/2006/customXml" ds:itemID="{626B0FE6-EB9F-4A5C-BE62-2ACDF98C7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ce95-d731-4245-ac9f-3fdcfde03d2c"/>
    <ds:schemaRef ds:uri="bae7db81-8a76-49dc-873a-2cf985890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805</Words>
  <Characters>4350</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AEGEAN Letterhead_GR.docx</vt:lpstr>
      <vt:lpstr>AEGEAN Letterhead_GR.docx</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AEGEAN Letterhead_GR.docx</dc:title>
  <dc:subject/>
  <dc:creator>Amalie Borg-Hansen</dc:creator>
  <cp:keywords/>
  <dc:description/>
  <cp:lastModifiedBy>&amp;</cp:lastModifiedBy>
  <cp:revision>12</cp:revision>
  <cp:lastPrinted>2024-01-11T15:01:00Z</cp:lastPrinted>
  <dcterms:created xsi:type="dcterms:W3CDTF">2024-01-11T12:59:00Z</dcterms:created>
  <dcterms:modified xsi:type="dcterms:W3CDTF">2024-01-11T15:32:00Z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0x0101003DC023711838AA48BE0D44C1AA7ED9BB</vt:lpwstr>
  </property>
  <property fmtid="{D5CDD505-2E9C-101B-9397-08002B2CF9AE}" pid="3" name="MSIP_Label_2af53a41-46d0-48d2-ac45-095a27a4bce1_Enabled">
    <vt:lpwstr>true</vt:lpwstr>
  </property>
  <property fmtid="{D5CDD505-2E9C-101B-9397-08002B2CF9AE}" pid="4" name="MSIP_Label_2af53a41-46d0-48d2-ac45-095a27a4bce1_SetDate">
    <vt:lpwstr>2024-01-08T11:34:18Z</vt:lpwstr>
  </property>
  <property fmtid="{D5CDD505-2E9C-101B-9397-08002B2CF9AE}" pid="5" name="MSIP_Label_2af53a41-46d0-48d2-ac45-095a27a4bce1_Method">
    <vt:lpwstr>Standard</vt:lpwstr>
  </property>
  <property fmtid="{D5CDD505-2E9C-101B-9397-08002B2CF9AE}" pid="6" name="MSIP_Label_2af53a41-46d0-48d2-ac45-095a27a4bce1_Name">
    <vt:lpwstr>2af53a41-46d0-48d2-ac45-095a27a4bce1</vt:lpwstr>
  </property>
  <property fmtid="{D5CDD505-2E9C-101B-9397-08002B2CF9AE}" pid="7" name="MSIP_Label_2af53a41-46d0-48d2-ac45-095a27a4bce1_SiteId">
    <vt:lpwstr>00ab5264-f7ed-4d89-9011-19bf33ed8169</vt:lpwstr>
  </property>
  <property fmtid="{D5CDD505-2E9C-101B-9397-08002B2CF9AE}" pid="8" name="MSIP_Label_2af53a41-46d0-48d2-ac45-095a27a4bce1_ActionId">
    <vt:lpwstr>7bf3dd83-31f0-4312-992d-ecf485444ad6</vt:lpwstr>
  </property>
  <property fmtid="{D5CDD505-2E9C-101B-9397-08002B2CF9AE}" pid="9" name="MSIP_Label_2af53a41-46d0-48d2-ac45-095a27a4bce1_ContentBits">
    <vt:lpwstr>0</vt:lpwstr>
  </property>
</Properties>
</file>