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tbl>
      <w:tblPr>
        <w:tblStyle w:val="TableGrid"/>
        <w:tblpPr w:leftFromText="180" w:rightFromText="180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75"/>
      </w:tblGrid>
      <w:tr w:rsidR="00122361" w:rsidRPr="004E0BC5" w14:paraId="5FB3DF16" w14:textId="77777777" w:rsidTr="004E0BC5">
        <w:tc>
          <w:tcPr>
            <w:tcW w:w="2835" w:type="dxa"/>
          </w:tcPr>
          <w:p w14:paraId="6536B5CE" w14:textId="770EF68D" w:rsidR="00973EA4" w:rsidRPr="00B87837" w:rsidRDefault="00B87837" w:rsidP="004E0BC5">
            <w:pPr>
              <w:rPr>
                <w:rFonts w:ascii="Ping LCG Medium" w:hAnsi="Ping LCG Medium"/>
                <w:color w:val="001432"/>
                <w:lang w:val="el-GR"/>
              </w:rPr>
            </w:pPr>
            <w:r>
              <w:rPr>
                <w:rFonts w:ascii="Ping LCG Medium" w:hAnsi="Ping LCG Medium"/>
                <w:color w:val="001432"/>
                <w:lang w:val="el-GR"/>
              </w:rPr>
              <w:t>Ανακοίνωση</w:t>
            </w:r>
          </w:p>
        </w:tc>
        <w:tc>
          <w:tcPr>
            <w:tcW w:w="6175" w:type="dxa"/>
          </w:tcPr>
          <w:p w14:paraId="640FF2F6" w14:textId="77777777" w:rsidR="004E0BC5" w:rsidRPr="004E0BC5" w:rsidRDefault="004E0BC5" w:rsidP="004E0BC5">
            <w:pPr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</w:pPr>
            <w:r w:rsidRPr="004E0BC5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Νέα ψηφιακή υπηρεσία από τον ΔΕΔΔΗΕ</w:t>
            </w:r>
          </w:p>
          <w:p w14:paraId="7EE98583" w14:textId="6D46A453" w:rsidR="00973EA4" w:rsidRPr="008D019F" w:rsidRDefault="004E0BC5" w:rsidP="004E0BC5">
            <w:pPr>
              <w:rPr>
                <w:rFonts w:ascii="Ping LCG Regular" w:hAnsi="Ping LCG Regular"/>
                <w:color w:val="001432"/>
                <w:lang w:val="el-GR"/>
              </w:rPr>
            </w:pPr>
            <w:r w:rsidRPr="004E0BC5">
              <w:rPr>
                <w:rFonts w:ascii="Ping LCG Regular" w:hAnsi="Ping LCG Regular"/>
                <w:color w:val="001432"/>
                <w:sz w:val="28"/>
                <w:szCs w:val="28"/>
                <w:lang w:val="el-GR"/>
              </w:rPr>
              <w:t>Ηλεκτρονικά η υποβολή ΥΔΕ</w:t>
            </w:r>
          </w:p>
        </w:tc>
      </w:tr>
      <w:tr w:rsidR="00122361" w:rsidRPr="004E0BC5" w14:paraId="4BFA2430" w14:textId="77777777" w:rsidTr="004E0BC5">
        <w:tc>
          <w:tcPr>
            <w:tcW w:w="9010" w:type="dxa"/>
            <w:gridSpan w:val="2"/>
          </w:tcPr>
          <w:p w14:paraId="0AB48FB7" w14:textId="77777777" w:rsidR="00490629" w:rsidRPr="00122361" w:rsidRDefault="00490629" w:rsidP="004E0BC5">
            <w:pPr>
              <w:rPr>
                <w:rFonts w:ascii="Ping LCG Medium" w:hAnsi="Ping LCG Medium"/>
                <w:color w:val="001432"/>
                <w:sz w:val="32"/>
                <w:szCs w:val="32"/>
                <w:lang w:val="el-GR"/>
              </w:rPr>
            </w:pPr>
          </w:p>
        </w:tc>
      </w:tr>
      <w:tr w:rsidR="00122361" w:rsidRPr="00323A37" w14:paraId="21A1FC86" w14:textId="77777777" w:rsidTr="004E0BC5">
        <w:tc>
          <w:tcPr>
            <w:tcW w:w="9010" w:type="dxa"/>
            <w:gridSpan w:val="2"/>
          </w:tcPr>
          <w:p w14:paraId="430D662C" w14:textId="1EC4EFFE" w:rsid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>Ο ΔΕΔΔΗΕ συνεχίζοντας με ταχείς ρυθμούς τον ψηφιακό του μετασχηματισμό και την αναβάθμιση των υπηρεσιών που παρέχει στους πολίτες, ανακοινώνει ότι από την 1</w:t>
            </w:r>
            <w:r w:rsidRPr="004E0BC5">
              <w:rPr>
                <w:rFonts w:ascii="Ping LCG Regular" w:hAnsi="Ping LCG Regular"/>
                <w:sz w:val="22"/>
                <w:szCs w:val="22"/>
                <w:vertAlign w:val="superscript"/>
                <w:lang w:val="el-GR"/>
              </w:rPr>
              <w:t>η</w:t>
            </w: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 Μαρτίου 2023, οι Υπεύθυνες Δηλώσεις Εγκαταστάτη (ΥΔΕ) θα υποβάλλονται αποκλειστικά και μόνο ηλεκτρονικά</w:t>
            </w:r>
            <w:r>
              <w:rPr>
                <w:rFonts w:ascii="Ping LCG Regular" w:hAnsi="Ping LCG Regular"/>
                <w:sz w:val="22"/>
                <w:szCs w:val="22"/>
                <w:lang w:val="el-GR"/>
              </w:rPr>
              <w:t>.</w:t>
            </w:r>
          </w:p>
          <w:p w14:paraId="04379781" w14:textId="77777777" w:rsidR="004E0BC5" w:rsidRP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</w:p>
          <w:p w14:paraId="7415837E" w14:textId="4D9E0F5E" w:rsid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Αναλυτικότερα, θα υποβάλλονται μέσω της διαδικτυακής </w:t>
            </w:r>
            <w:hyperlink r:id="rId7" w:history="1"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Εφαρμογής Εξυπηρέτησης του ΔΕΔΔΗΕ</w:t>
              </w:r>
            </w:hyperlink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 ενώ υπογραμμίζεται ότι θα πρέπει να είναι ψηφιακά υπογεγραμμένες με έναν από τους παρακάτω τρόπους:</w:t>
            </w:r>
          </w:p>
          <w:p w14:paraId="43C06D7A" w14:textId="77777777" w:rsidR="004E0BC5" w:rsidRP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</w:p>
          <w:p w14:paraId="78626CFC" w14:textId="77777777" w:rsidR="004E0BC5" w:rsidRPr="004E0BC5" w:rsidRDefault="004E0BC5" w:rsidP="004E0B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ing LCG Regular" w:hAnsi="Ping LCG Regular"/>
              </w:rPr>
            </w:pPr>
            <w:r w:rsidRPr="004E0BC5">
              <w:rPr>
                <w:rFonts w:ascii="Ping LCG Regular" w:hAnsi="Ping LCG Regular"/>
              </w:rPr>
              <w:t>με εγκεκριμένη ηλεκτρονική υπογραφή, σύμφωνα με τον ν. 4727/2020,</w:t>
            </w:r>
          </w:p>
          <w:p w14:paraId="72FBF542" w14:textId="77777777" w:rsidR="004E0BC5" w:rsidRPr="004E0BC5" w:rsidRDefault="004E0BC5" w:rsidP="004E0B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ing LCG Regular" w:hAnsi="Ping LCG Regular"/>
              </w:rPr>
            </w:pPr>
            <w:r w:rsidRPr="004E0BC5">
              <w:rPr>
                <w:rFonts w:ascii="Ping LCG Regular" w:hAnsi="Ping LCG Regular"/>
              </w:rPr>
              <w:t>μέσω της Ενιαίας Ψηφιακής Πύλης της Δημόσιας Διοίκησης (</w:t>
            </w:r>
            <w:proofErr w:type="spellStart"/>
            <w:r w:rsidRPr="004E0BC5">
              <w:rPr>
                <w:rFonts w:ascii="Ping LCG Regular" w:hAnsi="Ping LCG Regular"/>
                <w:lang w:val="en-US"/>
              </w:rPr>
              <w:t>gov</w:t>
            </w:r>
            <w:proofErr w:type="spellEnd"/>
            <w:r w:rsidRPr="004E0BC5">
              <w:rPr>
                <w:rFonts w:ascii="Ping LCG Regular" w:hAnsi="Ping LCG Regular"/>
              </w:rPr>
              <w:t>.</w:t>
            </w:r>
            <w:r w:rsidRPr="004E0BC5">
              <w:rPr>
                <w:rFonts w:ascii="Ping LCG Regular" w:hAnsi="Ping LCG Regular"/>
                <w:lang w:val="en-US"/>
              </w:rPr>
              <w:t>gr</w:t>
            </w:r>
            <w:r w:rsidRPr="004E0BC5">
              <w:rPr>
                <w:rFonts w:ascii="Ping LCG Regular" w:hAnsi="Ping LCG Regular"/>
              </w:rPr>
              <w:t>),</w:t>
            </w:r>
          </w:p>
          <w:p w14:paraId="46FCCC9A" w14:textId="2FF44EF8" w:rsidR="004E0BC5" w:rsidRPr="004E0BC5" w:rsidRDefault="004E0BC5" w:rsidP="004E0B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ing LCG Regular" w:hAnsi="Ping LCG Regular"/>
              </w:rPr>
            </w:pPr>
            <w:r w:rsidRPr="004E0BC5">
              <w:rPr>
                <w:rFonts w:ascii="Ping LCG Regular" w:hAnsi="Ping LCG Regular"/>
              </w:rPr>
              <w:t xml:space="preserve">με τη διαδικασία που περιγράφεται στην </w:t>
            </w:r>
            <w:r w:rsidR="002B72A1">
              <w:rPr>
                <w:rFonts w:ascii="Ping LCG Regular" w:hAnsi="Ping LCG Regular"/>
              </w:rPr>
              <w:t>Κ</w:t>
            </w:r>
            <w:r w:rsidRPr="004E0BC5">
              <w:rPr>
                <w:rFonts w:ascii="Ping LCG Regular" w:hAnsi="Ping LCG Regular"/>
              </w:rPr>
              <w:t xml:space="preserve">ΥΑ </w:t>
            </w:r>
            <w:proofErr w:type="spellStart"/>
            <w:r w:rsidRPr="004E0BC5">
              <w:rPr>
                <w:rFonts w:ascii="Ping LCG Regular" w:hAnsi="Ping LCG Regular"/>
              </w:rPr>
              <w:t>Αριθμ</w:t>
            </w:r>
            <w:proofErr w:type="spellEnd"/>
            <w:r w:rsidRPr="004E0BC5">
              <w:rPr>
                <w:rFonts w:ascii="Ping LCG Regular" w:hAnsi="Ping LCG Regular"/>
              </w:rPr>
              <w:t xml:space="preserve">. 43059 ΕΞ 2022/20.10.2022 (ΦΕΚ Β’ 5471/21.10.2022), ειδικά για τις περιπτώσεις που σύμφωνα με τον ν. 4483/1965, απαιτείται θεώρηση από το οικείο επαγγελματικό σωματείο του ηλεκτρολόγου εγκαταστάτη. </w:t>
            </w:r>
          </w:p>
          <w:p w14:paraId="6B4211E0" w14:textId="346F8A59" w:rsid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Υπενθυμίζεται ότι η ΥΔΕ πιστοποιεί την ασφάλεια της εσωτερικής ηλεκτρικής εγκατάστασης των ακινήτων και είναι απαραίτητη καθώς εξασφαλίζει τους ίδιους τους πολίτες έναντι σοβαρών κινδύνων (ηλεκτροπληξία, πυρκαγιά </w:t>
            </w:r>
            <w:proofErr w:type="spellStart"/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>κλπ</w:t>
            </w:r>
            <w:proofErr w:type="spellEnd"/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) που μπορεί να εγκυμονούν εγκαταστάσεις που δεν έχουν ελεγχθεί. Στον σύνδεσμο </w:t>
            </w:r>
            <w:hyperlink r:id="rId8" w:history="1"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Διαδικτυακή εφαρμογή για τις ΥΔΕ</w:t>
              </w:r>
            </w:hyperlink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 μπορεί κανείς να ελέγξει εάν το ακίνητο του έχει ΥΔΕ σε ισχύ ή πρέπει να προχωρήσει στον επανέλεγχο των ηλεκτρικών του εγκαταστάσεων.</w:t>
            </w:r>
          </w:p>
          <w:p w14:paraId="361B5864" w14:textId="77777777" w:rsidR="004E0BC5" w:rsidRP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</w:p>
          <w:p w14:paraId="60B4A7B9" w14:textId="77777777" w:rsidR="004E0BC5" w:rsidRPr="004E0BC5" w:rsidRDefault="004E0BC5" w:rsidP="004E0BC5">
            <w:pPr>
              <w:jc w:val="both"/>
              <w:rPr>
                <w:rFonts w:ascii="Ping LCG Regular" w:hAnsi="Ping LCG Regular"/>
                <w:sz w:val="22"/>
                <w:szCs w:val="22"/>
                <w:lang w:val="el-GR"/>
              </w:rPr>
            </w:pP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>Ο ΔΕΔΔΗΕ με κομβικό σημείο εξυπηρέτησης τ</w:t>
            </w:r>
            <w:r w:rsidRPr="004E0BC5">
              <w:rPr>
                <w:rFonts w:ascii="Ping LCG Regular" w:hAnsi="Ping LCG Regular"/>
                <w:sz w:val="22"/>
                <w:szCs w:val="22"/>
              </w:rPr>
              <w:t>o</w:t>
            </w:r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 </w:t>
            </w:r>
            <w:hyperlink r:id="rId9" w:history="1"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</w:rPr>
                <w:t>www</w:t>
              </w:r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.</w:t>
              </w:r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</w:rPr>
                <w:t>deddie</w:t>
              </w:r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.</w:t>
              </w:r>
              <w:r w:rsidRPr="004E0BC5">
                <w:rPr>
                  <w:rStyle w:val="Hyperlink"/>
                  <w:rFonts w:ascii="Ping LCG Regular" w:hAnsi="Ping LCG Regular"/>
                  <w:sz w:val="22"/>
                  <w:szCs w:val="22"/>
                </w:rPr>
                <w:t>gr</w:t>
              </w:r>
            </w:hyperlink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, συνεχίζει να υλοποιεί τη δέσμευσή του για βέλτιστη εξυπηρέτηση των πολιτών και </w:t>
            </w:r>
            <w:proofErr w:type="spellStart"/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>ψηφιοποίηση</w:t>
            </w:r>
            <w:proofErr w:type="spellEnd"/>
            <w:r w:rsidRPr="004E0BC5">
              <w:rPr>
                <w:rFonts w:ascii="Ping LCG Regular" w:hAnsi="Ping LCG Regular"/>
                <w:sz w:val="22"/>
                <w:szCs w:val="22"/>
                <w:lang w:val="el-GR"/>
              </w:rPr>
              <w:t xml:space="preserve"> όλων των λειτουργιών και υπηρεσιών του.</w:t>
            </w:r>
          </w:p>
          <w:p w14:paraId="5196CF78" w14:textId="3A944024" w:rsidR="00D86736" w:rsidRPr="008D019F" w:rsidRDefault="00D86736" w:rsidP="004E0BC5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75"/>
      </w:tblGrid>
      <w:tr w:rsidR="00D86736" w:rsidRPr="00323A37" w14:paraId="04FAF421" w14:textId="77777777" w:rsidTr="0082267B">
        <w:tc>
          <w:tcPr>
            <w:tcW w:w="9010" w:type="dxa"/>
            <w:gridSpan w:val="2"/>
          </w:tcPr>
          <w:p w14:paraId="2A39C302" w14:textId="77777777" w:rsidR="00D86736" w:rsidRPr="008D019F" w:rsidRDefault="00D86736" w:rsidP="0082267B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</w:tc>
      </w:tr>
      <w:tr w:rsidR="00D86736" w:rsidRPr="00323A37" w14:paraId="4A7A07F2" w14:textId="77777777" w:rsidTr="0082267B">
        <w:tc>
          <w:tcPr>
            <w:tcW w:w="2835" w:type="dxa"/>
          </w:tcPr>
          <w:p w14:paraId="2A7445A5" w14:textId="77777777" w:rsidR="00D86736" w:rsidRPr="008D019F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</w:tc>
        <w:tc>
          <w:tcPr>
            <w:tcW w:w="6175" w:type="dxa"/>
          </w:tcPr>
          <w:p w14:paraId="49A0927F" w14:textId="77777777" w:rsidR="00D86736" w:rsidRPr="008D019F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8D019F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Αθήνα, </w:t>
            </w:r>
          </w:p>
          <w:p w14:paraId="3020FDE3" w14:textId="2A54EC38" w:rsidR="00D86736" w:rsidRPr="008D019F" w:rsidRDefault="00323A37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1 Φεβρουαρίου</w:t>
            </w:r>
            <w:bookmarkStart w:id="0" w:name="_GoBack"/>
            <w:bookmarkEnd w:id="0"/>
            <w:r w:rsidR="00D86736" w:rsidRPr="008D019F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202</w:t>
            </w:r>
            <w:r w:rsidR="004E0BC5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3</w:t>
            </w:r>
          </w:p>
          <w:p w14:paraId="7CB8A894" w14:textId="77777777" w:rsidR="00D86736" w:rsidRPr="008D019F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53284208" w14:textId="77777777" w:rsidR="00D86736" w:rsidRPr="008D019F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8D019F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Από το Γραφείο Τύπου</w:t>
            </w:r>
          </w:p>
        </w:tc>
      </w:tr>
    </w:tbl>
    <w:p w14:paraId="55474548" w14:textId="77777777" w:rsidR="00D86736" w:rsidRPr="005977CD" w:rsidRDefault="00D86736">
      <w:pPr>
        <w:rPr>
          <w:color w:val="001432"/>
          <w:sz w:val="22"/>
          <w:szCs w:val="22"/>
          <w:lang w:val="el-GR"/>
        </w:rPr>
      </w:pPr>
    </w:p>
    <w:sectPr w:rsidR="00D86736" w:rsidRPr="005977CD" w:rsidSect="004125CD">
      <w:headerReference w:type="default" r:id="rId10"/>
      <w:footerReference w:type="even" r:id="rId11"/>
      <w:footerReference w:type="default" r:id="rId12"/>
      <w:pgSz w:w="11900" w:h="16840"/>
      <w:pgMar w:top="5999" w:right="1440" w:bottom="1440" w:left="144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2CF8" w14:textId="77777777" w:rsidR="00EA3117" w:rsidRDefault="00EA3117" w:rsidP="00973EA4">
      <w:r>
        <w:separator/>
      </w:r>
    </w:p>
  </w:endnote>
  <w:endnote w:type="continuationSeparator" w:id="0">
    <w:p w14:paraId="2122CC2B" w14:textId="77777777" w:rsidR="00EA3117" w:rsidRDefault="00EA3117" w:rsidP="0097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ing LCG Medium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135952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5D58A" w14:textId="3650C00F" w:rsidR="004125CD" w:rsidRDefault="004125CD" w:rsidP="00A476C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6981B3" w14:textId="77777777" w:rsidR="004125CD" w:rsidRDefault="004125CD" w:rsidP="004125C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2"/>
      <w:gridCol w:w="1826"/>
      <w:gridCol w:w="2467"/>
      <w:gridCol w:w="1785"/>
    </w:tblGrid>
    <w:tr w:rsidR="00122361" w:rsidRPr="00EC3218" w14:paraId="2A9A5CE8" w14:textId="77777777" w:rsidTr="004125CD">
      <w:tc>
        <w:tcPr>
          <w:tcW w:w="2932" w:type="dxa"/>
          <w:vAlign w:val="bottom"/>
        </w:tcPr>
        <w:p w14:paraId="5411FA77" w14:textId="77777777" w:rsidR="00A2702C" w:rsidRPr="00EC3218" w:rsidRDefault="00A2702C" w:rsidP="0023349E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Διαχειριστής Ελληνικού</w:t>
          </w:r>
        </w:p>
        <w:p w14:paraId="50C27E72" w14:textId="77777777" w:rsidR="00A2702C" w:rsidRPr="00EC321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Δικτύου Διανομής</w:t>
          </w:r>
        </w:p>
        <w:p w14:paraId="5800EAE6" w14:textId="5079C5BD" w:rsidR="00A2702C" w:rsidRPr="00EC321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 xml:space="preserve">Ηλεκτρικής Ενέργειας </w:t>
          </w: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A</w:t>
          </w: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.</w:t>
          </w: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E</w:t>
          </w: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.</w:t>
          </w:r>
        </w:p>
      </w:tc>
      <w:tc>
        <w:tcPr>
          <w:tcW w:w="1826" w:type="dxa"/>
          <w:vAlign w:val="bottom"/>
        </w:tcPr>
        <w:p w14:paraId="53D36E89" w14:textId="3DA3DE9F" w:rsidR="00A2702C" w:rsidRPr="00EC321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 xml:space="preserve">Περραιβού 20 </w:t>
          </w:r>
        </w:p>
        <w:p w14:paraId="71446924" w14:textId="77777777" w:rsidR="00A2702C" w:rsidRPr="00EC321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&amp; Καλλιρρόης 5</w:t>
          </w:r>
        </w:p>
        <w:p w14:paraId="36405C63" w14:textId="68826F14" w:rsidR="00A2702C" w:rsidRPr="00EC321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11743 Αθήνα</w:t>
          </w:r>
        </w:p>
      </w:tc>
      <w:tc>
        <w:tcPr>
          <w:tcW w:w="2467" w:type="dxa"/>
          <w:vAlign w:val="bottom"/>
        </w:tcPr>
        <w:p w14:paraId="43ADFC38" w14:textId="77777777" w:rsidR="004125CD" w:rsidRPr="00EC321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T +30 210 9281600</w:t>
          </w:r>
        </w:p>
        <w:p w14:paraId="04B1C3BE" w14:textId="77777777" w:rsidR="004125CD" w:rsidRPr="00EC321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F +30 214 4050205</w:t>
          </w:r>
        </w:p>
        <w:p w14:paraId="5E250BD8" w14:textId="32AF09DF" w:rsidR="00A2702C" w:rsidRPr="00EC321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infodeddie@deddie.gr</w:t>
          </w:r>
        </w:p>
      </w:tc>
      <w:tc>
        <w:tcPr>
          <w:tcW w:w="1785" w:type="dxa"/>
          <w:vAlign w:val="bottom"/>
        </w:tcPr>
        <w:p w14:paraId="4E443B0E" w14:textId="2933ABE0" w:rsidR="00A2702C" w:rsidRPr="00EC3218" w:rsidRDefault="004125CD" w:rsidP="004125CD">
          <w:pPr>
            <w:pStyle w:val="Footer"/>
            <w:jc w:val="right"/>
            <w:rPr>
              <w:rFonts w:ascii="Ping LCG Medium" w:hAnsi="Ping LCG Medium"/>
              <w:color w:val="001432"/>
              <w:sz w:val="16"/>
              <w:szCs w:val="16"/>
            </w:rPr>
          </w:pPr>
          <w:r w:rsidRPr="00EC3218">
            <w:rPr>
              <w:rFonts w:ascii="Ping LCG Medium" w:hAnsi="Ping LCG Medium"/>
              <w:color w:val="001432"/>
              <w:sz w:val="16"/>
              <w:szCs w:val="16"/>
            </w:rPr>
            <w:t>deddie.gr</w:t>
          </w:r>
        </w:p>
      </w:tc>
    </w:tr>
  </w:tbl>
  <w:p w14:paraId="46D4CDCF" w14:textId="21E687B5" w:rsidR="00973EA4" w:rsidRPr="00122361" w:rsidRDefault="00973EA4">
    <w:pPr>
      <w:pStyle w:val="Footer"/>
      <w:rPr>
        <w:rFonts w:ascii="Ping LCG Medium" w:hAnsi="Ping LCG Medium"/>
        <w:color w:val="00143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A320" w14:textId="77777777" w:rsidR="00EA3117" w:rsidRDefault="00EA3117" w:rsidP="00973EA4">
      <w:r>
        <w:separator/>
      </w:r>
    </w:p>
  </w:footnote>
  <w:footnote w:type="continuationSeparator" w:id="0">
    <w:p w14:paraId="251738D6" w14:textId="77777777" w:rsidR="00EA3117" w:rsidRDefault="00EA3117" w:rsidP="0097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B427" w14:textId="4E9F8A66" w:rsidR="00973EA4" w:rsidRPr="00973EA4" w:rsidRDefault="00122361" w:rsidP="00973EA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7E4690E4" wp14:editId="24141233">
          <wp:simplePos x="0" y="0"/>
          <wp:positionH relativeFrom="page">
            <wp:posOffset>156</wp:posOffset>
          </wp:positionH>
          <wp:positionV relativeFrom="page">
            <wp:posOffset>0</wp:posOffset>
          </wp:positionV>
          <wp:extent cx="7565712" cy="3599815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ght-mau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12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0CA0E12B" wp14:editId="745A9764">
          <wp:simplePos x="0" y="0"/>
          <wp:positionH relativeFrom="column">
            <wp:posOffset>4110824</wp:posOffset>
          </wp:positionH>
          <wp:positionV relativeFrom="page">
            <wp:posOffset>1760910</wp:posOffset>
          </wp:positionV>
          <wp:extent cx="1602000" cy="81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die-dark-from Pant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EAE"/>
    <w:multiLevelType w:val="hybridMultilevel"/>
    <w:tmpl w:val="2D9AE472"/>
    <w:lvl w:ilvl="0" w:tplc="76147B86">
      <w:numFmt w:val="bullet"/>
      <w:lvlText w:val="-"/>
      <w:lvlJc w:val="left"/>
      <w:pPr>
        <w:ind w:left="36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A4"/>
    <w:rsid w:val="00122361"/>
    <w:rsid w:val="001630C3"/>
    <w:rsid w:val="00181CB6"/>
    <w:rsid w:val="001C3371"/>
    <w:rsid w:val="0023349E"/>
    <w:rsid w:val="002B72A1"/>
    <w:rsid w:val="00323A37"/>
    <w:rsid w:val="004125CD"/>
    <w:rsid w:val="00490629"/>
    <w:rsid w:val="004B6672"/>
    <w:rsid w:val="004B68D0"/>
    <w:rsid w:val="004E0BC5"/>
    <w:rsid w:val="005770B3"/>
    <w:rsid w:val="005977CD"/>
    <w:rsid w:val="00656F47"/>
    <w:rsid w:val="006C70A9"/>
    <w:rsid w:val="008D019F"/>
    <w:rsid w:val="008D7E6E"/>
    <w:rsid w:val="009118EE"/>
    <w:rsid w:val="009674D8"/>
    <w:rsid w:val="00973EA4"/>
    <w:rsid w:val="00995A22"/>
    <w:rsid w:val="00A24596"/>
    <w:rsid w:val="00A2702C"/>
    <w:rsid w:val="00AF4513"/>
    <w:rsid w:val="00B87837"/>
    <w:rsid w:val="00C45E05"/>
    <w:rsid w:val="00D86736"/>
    <w:rsid w:val="00EA3117"/>
    <w:rsid w:val="00EC3218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D9F6"/>
  <w15:chartTrackingRefBased/>
  <w15:docId w15:val="{EF770E26-6F04-2E4D-AC5D-CD68577E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05"/>
    <w:rPr>
      <w:rFonts w:ascii="Ping LCG" w:hAnsi="Ping LCG" w:cs="Times New Roman (Body CS)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5E0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45E0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E05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E05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45E0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5E05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45E05"/>
    <w:rPr>
      <w:rFonts w:ascii="Ping LCG" w:hAnsi="Ping LCG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45E05"/>
    <w:rPr>
      <w:rFonts w:ascii="Ping LCG" w:hAnsi="Ping LCG"/>
      <w:b/>
      <w:bCs/>
    </w:rPr>
  </w:style>
  <w:style w:type="paragraph" w:styleId="Header">
    <w:name w:val="header"/>
    <w:basedOn w:val="Normal"/>
    <w:link w:val="Head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A4"/>
    <w:rPr>
      <w:rFonts w:ascii="Ping LCG" w:hAnsi="Ping LCG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EA4"/>
    <w:rPr>
      <w:rFonts w:ascii="Ping LCG" w:hAnsi="Ping LCG" w:cs="Times New Roman (Body CS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A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7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125CD"/>
  </w:style>
  <w:style w:type="paragraph" w:styleId="ListParagraph">
    <w:name w:val="List Paragraph"/>
    <w:basedOn w:val="Normal"/>
    <w:uiPriority w:val="34"/>
    <w:qFormat/>
    <w:rsid w:val="004E0B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4E0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deddie.gr/LicensedElectricianCertifi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deddie.gr/ccrWebapp/newccticket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ddie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Χατζηλαζάρου Μαρία</cp:lastModifiedBy>
  <cp:revision>10</cp:revision>
  <dcterms:created xsi:type="dcterms:W3CDTF">2021-12-03T15:44:00Z</dcterms:created>
  <dcterms:modified xsi:type="dcterms:W3CDTF">2023-01-31T12:52:00Z</dcterms:modified>
</cp:coreProperties>
</file>