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81" w:type="dxa"/>
        <w:jc w:val="center"/>
        <w:tblLayout w:type="autofit"/>
        <w:tblCellMar>
          <w:top w:w="0" w:type="dxa"/>
          <w:left w:w="108" w:type="dxa"/>
          <w:bottom w:w="0" w:type="dxa"/>
          <w:right w:w="108" w:type="dxa"/>
        </w:tblCellMar>
      </w:tblPr>
      <w:tblGrid>
        <w:gridCol w:w="1896"/>
        <w:gridCol w:w="4909"/>
        <w:gridCol w:w="2976"/>
      </w:tblGrid>
      <w:tr>
        <w:tblPrEx>
          <w:tblCellMar>
            <w:top w:w="0" w:type="dxa"/>
            <w:left w:w="108" w:type="dxa"/>
            <w:bottom w:w="0" w:type="dxa"/>
            <w:right w:w="108" w:type="dxa"/>
          </w:tblCellMar>
        </w:tblPrEx>
        <w:trPr>
          <w:jc w:val="center"/>
        </w:trPr>
        <w:tc>
          <w:tcPr>
            <w:tcW w:w="1896" w:type="dxa"/>
            <w:tcBorders>
              <w:right w:val="single" w:color="29235C" w:sz="8" w:space="0"/>
            </w:tcBorders>
            <w:shd w:val="clear" w:color="auto" w:fill="auto"/>
          </w:tcPr>
          <w:p>
            <w:pPr>
              <w:pStyle w:val="9"/>
              <w:rPr>
                <w:rFonts w:ascii="Verdana" w:hAnsi="Verdana"/>
              </w:rPr>
            </w:pPr>
            <w:bookmarkStart w:id="1" w:name="_GoBack"/>
            <w:bookmarkEnd w:id="1"/>
            <w:r>
              <w:rPr>
                <w:lang w:val="en-US" w:eastAsia="en-US"/>
              </w:rPr>
              <w:drawing>
                <wp:anchor distT="0" distB="0" distL="114300" distR="114300" simplePos="0" relativeHeight="251659264" behindDoc="0" locked="0" layoutInCell="1" allowOverlap="1">
                  <wp:simplePos x="0" y="0"/>
                  <wp:positionH relativeFrom="column">
                    <wp:posOffset>15875</wp:posOffset>
                  </wp:positionH>
                  <wp:positionV relativeFrom="paragraph">
                    <wp:posOffset>17145</wp:posOffset>
                  </wp:positionV>
                  <wp:extent cx="962025" cy="96202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l="29308" t="20860" r="29468" b="20937"/>
                          <a:stretch>
                            <a:fillRect/>
                          </a:stretch>
                        </pic:blipFill>
                        <pic:spPr>
                          <a:xfrm>
                            <a:off x="0" y="0"/>
                            <a:ext cx="962025" cy="962025"/>
                          </a:xfrm>
                          <a:prstGeom prst="rect">
                            <a:avLst/>
                          </a:prstGeom>
                          <a:noFill/>
                          <a:ln>
                            <a:noFill/>
                          </a:ln>
                        </pic:spPr>
                      </pic:pic>
                    </a:graphicData>
                  </a:graphic>
                </wp:anchor>
              </w:drawing>
            </w:r>
          </w:p>
        </w:tc>
        <w:tc>
          <w:tcPr>
            <w:tcW w:w="4909" w:type="dxa"/>
            <w:tcBorders>
              <w:left w:val="single" w:color="29235C" w:sz="8" w:space="0"/>
              <w:right w:val="single" w:color="29235C" w:sz="8" w:space="0"/>
            </w:tcBorders>
            <w:shd w:val="clear" w:color="auto" w:fill="auto"/>
          </w:tcPr>
          <w:p>
            <w:pPr>
              <w:pStyle w:val="9"/>
              <w:spacing w:before="120"/>
              <w:rPr>
                <w:rFonts w:ascii="Century Gothic" w:hAnsi="Century Gothic"/>
                <w:b/>
                <w:bCs/>
                <w:color w:val="000099"/>
                <w:sz w:val="26"/>
                <w:szCs w:val="26"/>
              </w:rPr>
            </w:pPr>
            <w:r>
              <w:rPr>
                <w:rFonts w:ascii="Century Gothic" w:hAnsi="Century Gothic"/>
                <w:b/>
                <w:bCs/>
                <w:color w:val="000099"/>
                <w:sz w:val="26"/>
                <w:szCs w:val="26"/>
              </w:rPr>
              <w:t xml:space="preserve">ΕΛΛΗΝΙΚΗ ΑΡΧΗ ΓΕΩΛΟΓΙΚΩΝ </w:t>
            </w:r>
          </w:p>
          <w:p>
            <w:pPr>
              <w:pStyle w:val="9"/>
              <w:rPr>
                <w:rFonts w:ascii="Century Gothic" w:hAnsi="Century Gothic"/>
                <w:b/>
                <w:bCs/>
                <w:color w:val="000099"/>
                <w:sz w:val="26"/>
                <w:szCs w:val="26"/>
              </w:rPr>
            </w:pPr>
            <w:r>
              <w:rPr>
                <w:rFonts w:ascii="Century Gothic" w:hAnsi="Century Gothic"/>
                <w:b/>
                <w:bCs/>
                <w:color w:val="000099"/>
                <w:sz w:val="26"/>
                <w:szCs w:val="26"/>
              </w:rPr>
              <w:t>ΚΑΙ ΜΕΤΑΛΛΕΥΤΙΚΩΝ ΕΡΕΥΝΩΝ</w:t>
            </w:r>
          </w:p>
          <w:p>
            <w:pPr>
              <w:pStyle w:val="9"/>
              <w:rPr>
                <w:rFonts w:ascii="Century Gothic" w:hAnsi="Century Gothic"/>
                <w:color w:val="000099"/>
                <w:sz w:val="26"/>
                <w:szCs w:val="26"/>
              </w:rPr>
            </w:pPr>
            <w:r>
              <w:rPr>
                <w:rFonts w:ascii="Century Gothic" w:hAnsi="Century Gothic"/>
                <w:color w:val="000099"/>
                <w:sz w:val="26"/>
                <w:szCs w:val="26"/>
              </w:rPr>
              <w:t>(Ε.Α.Γ.Μ.Ε.)</w:t>
            </w:r>
          </w:p>
          <w:p>
            <w:pPr>
              <w:pStyle w:val="9"/>
              <w:rPr>
                <w:rFonts w:ascii="Century Gothic" w:hAnsi="Century Gothic"/>
                <w:color w:val="000099"/>
                <w:sz w:val="20"/>
                <w:szCs w:val="20"/>
              </w:rPr>
            </w:pPr>
          </w:p>
          <w:p>
            <w:pPr>
              <w:pStyle w:val="9"/>
              <w:rPr>
                <w:rFonts w:ascii="Century Gothic" w:hAnsi="Century Gothic"/>
                <w:color w:val="000099"/>
                <w:sz w:val="26"/>
                <w:szCs w:val="26"/>
              </w:rPr>
            </w:pPr>
            <w:r>
              <w:rPr>
                <w:rFonts w:ascii="Century Gothic" w:hAnsi="Century Gothic"/>
                <w:color w:val="000099"/>
                <w:sz w:val="20"/>
                <w:szCs w:val="20"/>
              </w:rPr>
              <w:t>ΥΠΟΥΡΓΕΙΟ ΠΕΡΙΒΑΛΛΟΝΤΟΣ ΚΑΙ ΕΝΕΡΓΕΙΑΣ</w:t>
            </w:r>
          </w:p>
        </w:tc>
        <w:tc>
          <w:tcPr>
            <w:tcW w:w="2976" w:type="dxa"/>
            <w:tcBorders>
              <w:left w:val="single" w:color="29235C" w:sz="8" w:space="0"/>
            </w:tcBorders>
            <w:shd w:val="clear" w:color="auto" w:fill="auto"/>
          </w:tcPr>
          <w:p>
            <w:pPr>
              <w:pStyle w:val="9"/>
              <w:spacing w:before="120"/>
              <w:rPr>
                <w:rFonts w:ascii="Century Gothic" w:hAnsi="Century Gothic"/>
                <w:color w:val="000099"/>
                <w:sz w:val="18"/>
                <w:szCs w:val="18"/>
              </w:rPr>
            </w:pPr>
            <w:r>
              <w:rPr>
                <w:rFonts w:ascii="Century Gothic" w:hAnsi="Century Gothic"/>
                <w:color w:val="000099"/>
                <w:sz w:val="18"/>
                <w:szCs w:val="18"/>
              </w:rPr>
              <w:t>Σπ. Λούη 1, Ολυμπιακό Χωριό</w:t>
            </w:r>
          </w:p>
          <w:p>
            <w:pPr>
              <w:pStyle w:val="9"/>
              <w:rPr>
                <w:rFonts w:ascii="Century Gothic" w:hAnsi="Century Gothic"/>
                <w:color w:val="000099"/>
                <w:sz w:val="18"/>
                <w:szCs w:val="18"/>
              </w:rPr>
            </w:pPr>
            <w:r>
              <w:rPr>
                <w:rFonts w:ascii="Century Gothic" w:hAnsi="Century Gothic"/>
                <w:color w:val="000099"/>
                <w:sz w:val="18"/>
                <w:szCs w:val="18"/>
              </w:rPr>
              <w:t>Αχαρναί Αττικής. Τ.Κ. 136 77</w:t>
            </w:r>
          </w:p>
          <w:p>
            <w:pPr>
              <w:pStyle w:val="9"/>
              <w:rPr>
                <w:rFonts w:ascii="Century Gothic" w:hAnsi="Century Gothic"/>
                <w:color w:val="000099"/>
                <w:sz w:val="18"/>
                <w:szCs w:val="18"/>
              </w:rPr>
            </w:pPr>
          </w:p>
          <w:p>
            <w:pPr>
              <w:pStyle w:val="9"/>
              <w:rPr>
                <w:rFonts w:ascii="Century Gothic" w:hAnsi="Century Gothic"/>
                <w:color w:val="000099"/>
                <w:sz w:val="20"/>
                <w:szCs w:val="20"/>
              </w:rPr>
            </w:pPr>
            <w:r>
              <w:rPr>
                <w:rFonts w:ascii="Century Gothic" w:hAnsi="Century Gothic"/>
                <w:color w:val="000099"/>
                <w:sz w:val="18"/>
                <w:szCs w:val="18"/>
              </w:rPr>
              <w:t>www.eagme.gr</w:t>
            </w:r>
          </w:p>
        </w:tc>
      </w:tr>
      <w:tr>
        <w:tblPrEx>
          <w:tblCellMar>
            <w:top w:w="0" w:type="dxa"/>
            <w:left w:w="108" w:type="dxa"/>
            <w:bottom w:w="0" w:type="dxa"/>
            <w:right w:w="108" w:type="dxa"/>
          </w:tblCellMar>
        </w:tblPrEx>
        <w:trPr>
          <w:jc w:val="center"/>
        </w:trPr>
        <w:tc>
          <w:tcPr>
            <w:tcW w:w="1896" w:type="dxa"/>
            <w:tcBorders>
              <w:bottom w:val="single" w:color="29235C" w:sz="8" w:space="0"/>
            </w:tcBorders>
            <w:shd w:val="clear" w:color="auto" w:fill="auto"/>
          </w:tcPr>
          <w:p>
            <w:pPr>
              <w:pStyle w:val="9"/>
              <w:rPr>
                <w:rFonts w:ascii="Verdana" w:hAnsi="Verdana"/>
                <w:sz w:val="12"/>
                <w:szCs w:val="12"/>
              </w:rPr>
            </w:pPr>
          </w:p>
        </w:tc>
        <w:tc>
          <w:tcPr>
            <w:tcW w:w="4909" w:type="dxa"/>
            <w:tcBorders>
              <w:bottom w:val="single" w:color="29235C" w:sz="8" w:space="0"/>
            </w:tcBorders>
            <w:shd w:val="clear" w:color="auto" w:fill="auto"/>
          </w:tcPr>
          <w:p>
            <w:pPr>
              <w:pStyle w:val="9"/>
              <w:rPr>
                <w:rFonts w:ascii="Verdana" w:hAnsi="Verdana"/>
                <w:b/>
                <w:bCs/>
                <w:color w:val="000046"/>
                <w:sz w:val="12"/>
                <w:szCs w:val="12"/>
              </w:rPr>
            </w:pPr>
          </w:p>
        </w:tc>
        <w:tc>
          <w:tcPr>
            <w:tcW w:w="2976" w:type="dxa"/>
            <w:tcBorders>
              <w:bottom w:val="single" w:color="29235C" w:sz="8" w:space="0"/>
            </w:tcBorders>
            <w:shd w:val="clear" w:color="auto" w:fill="auto"/>
          </w:tcPr>
          <w:p>
            <w:pPr>
              <w:pStyle w:val="9"/>
              <w:rPr>
                <w:rFonts w:ascii="Verdana" w:hAnsi="Verdana"/>
                <w:color w:val="000046"/>
                <w:sz w:val="12"/>
                <w:szCs w:val="12"/>
              </w:rPr>
            </w:pPr>
          </w:p>
        </w:tc>
      </w:tr>
    </w:tbl>
    <w:p>
      <w:pPr>
        <w:pStyle w:val="2"/>
        <w:tabs>
          <w:tab w:val="left" w:pos="5070"/>
          <w:tab w:val="clear" w:pos="1705"/>
        </w:tabs>
        <w:ind w:left="-34"/>
        <w:rPr>
          <w:rFonts w:ascii="Verdana" w:hAnsi="Verdana"/>
          <w:sz w:val="12"/>
          <w:szCs w:val="12"/>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9628" w:type="dxa"/>
          </w:tcPr>
          <w:p>
            <w:pPr>
              <w:tabs>
                <w:tab w:val="left" w:pos="-720"/>
                <w:tab w:val="left" w:pos="709"/>
                <w:tab w:val="left" w:pos="851"/>
              </w:tabs>
              <w:rPr>
                <w:rFonts w:ascii="Century Gothic" w:hAnsi="Century Gothic" w:eastAsia="Times New Roman"/>
                <w:b/>
                <w:sz w:val="20"/>
                <w:szCs w:val="20"/>
                <w:lang w:val="el-GR" w:eastAsia="zh-CN"/>
              </w:rPr>
            </w:pPr>
            <w:r>
              <w:rPr>
                <w:rFonts w:ascii="Century Gothic" w:hAnsi="Century Gothic" w:eastAsia="Times New Roman"/>
                <w:b/>
                <w:sz w:val="20"/>
                <w:szCs w:val="20"/>
                <w:lang w:val="zh-CN" w:eastAsia="zh-CN"/>
              </w:rPr>
              <w:t>ΓΡΑΦΕ</w:t>
            </w:r>
            <w:r>
              <w:rPr>
                <w:rFonts w:ascii="Century Gothic" w:hAnsi="Century Gothic" w:eastAsia="Times New Roman"/>
                <w:b/>
                <w:sz w:val="20"/>
                <w:szCs w:val="20"/>
                <w:lang w:val="el-GR" w:eastAsia="zh-CN"/>
              </w:rPr>
              <w:t>Ι</w:t>
            </w:r>
            <w:r>
              <w:rPr>
                <w:rFonts w:ascii="Century Gothic" w:hAnsi="Century Gothic" w:eastAsia="Times New Roman"/>
                <w:b/>
                <w:sz w:val="20"/>
                <w:szCs w:val="20"/>
                <w:lang w:val="zh-CN" w:eastAsia="zh-CN"/>
              </w:rPr>
              <w:t>Ο ΔΗΜΟΣ</w:t>
            </w:r>
            <w:r>
              <w:rPr>
                <w:rFonts w:ascii="Century Gothic" w:hAnsi="Century Gothic" w:eastAsia="Times New Roman"/>
                <w:b/>
                <w:sz w:val="20"/>
                <w:szCs w:val="20"/>
                <w:lang w:val="el-GR" w:eastAsia="zh-CN"/>
              </w:rPr>
              <w:t>Ι</w:t>
            </w:r>
            <w:r>
              <w:rPr>
                <w:rFonts w:ascii="Century Gothic" w:hAnsi="Century Gothic" w:eastAsia="Times New Roman"/>
                <w:b/>
                <w:sz w:val="20"/>
                <w:szCs w:val="20"/>
                <w:lang w:val="zh-CN" w:eastAsia="zh-CN"/>
              </w:rPr>
              <w:t>ΩΝ ΣΧ</w:t>
            </w:r>
            <w:r>
              <w:rPr>
                <w:rFonts w:ascii="Century Gothic" w:hAnsi="Century Gothic" w:eastAsia="Times New Roman"/>
                <w:b/>
                <w:sz w:val="20"/>
                <w:szCs w:val="20"/>
                <w:lang w:val="el-GR" w:eastAsia="zh-CN"/>
              </w:rPr>
              <w:t>Ε</w:t>
            </w:r>
            <w:r>
              <w:rPr>
                <w:rFonts w:ascii="Century Gothic" w:hAnsi="Century Gothic" w:eastAsia="Times New Roman"/>
                <w:b/>
                <w:sz w:val="20"/>
                <w:szCs w:val="20"/>
                <w:lang w:val="zh-CN" w:eastAsia="zh-CN"/>
              </w:rPr>
              <w:t>ΣΕΩΝ</w:t>
            </w:r>
          </w:p>
          <w:p>
            <w:pPr>
              <w:tabs>
                <w:tab w:val="left" w:pos="5812"/>
              </w:tabs>
              <w:rPr>
                <w:rFonts w:ascii="Verdana" w:hAnsi="Verdana"/>
                <w:sz w:val="18"/>
                <w:szCs w:val="18"/>
                <w:lang w:val="de-DE" w:eastAsia="el-GR"/>
              </w:rPr>
            </w:pPr>
            <w:r>
              <w:rPr>
                <w:rFonts w:ascii="Century Gothic" w:hAnsi="Century Gothic"/>
                <w:sz w:val="20"/>
                <w:szCs w:val="20"/>
                <w:lang w:val="de-DE" w:eastAsia="el-GR"/>
              </w:rPr>
              <w:t xml:space="preserve">e-mail: </w:t>
            </w:r>
            <w:r>
              <w:fldChar w:fldCharType="begin"/>
            </w:r>
            <w:r>
              <w:instrText xml:space="preserve"> HYPERLINK "mailto:eagmepress@gmail.com" </w:instrText>
            </w:r>
            <w:r>
              <w:fldChar w:fldCharType="separate"/>
            </w:r>
            <w:r>
              <w:rPr>
                <w:rStyle w:val="5"/>
                <w:rFonts w:ascii="Century Gothic" w:hAnsi="Century Gothic" w:eastAsia="Times New Roman"/>
                <w:sz w:val="20"/>
                <w:szCs w:val="20"/>
                <w:u w:val="none"/>
                <w:lang w:val="de-DE" w:eastAsia="el-GR"/>
              </w:rPr>
              <w:t>eagmepress@gmail.com</w:t>
            </w:r>
            <w:r>
              <w:rPr>
                <w:rStyle w:val="5"/>
                <w:rFonts w:ascii="Century Gothic" w:hAnsi="Century Gothic" w:eastAsia="Times New Roman"/>
                <w:sz w:val="20"/>
                <w:szCs w:val="20"/>
                <w:u w:val="none"/>
                <w:lang w:val="de-DE" w:eastAsia="el-G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628" w:type="dxa"/>
          </w:tcPr>
          <w:p>
            <w:pPr>
              <w:tabs>
                <w:tab w:val="left" w:pos="5812"/>
              </w:tabs>
              <w:spacing w:before="80"/>
              <w:jc w:val="right"/>
              <w:rPr>
                <w:rFonts w:ascii="Century Gothic" w:hAnsi="Century Gothic"/>
                <w:sz w:val="22"/>
                <w:szCs w:val="22"/>
                <w:lang w:eastAsia="el-GR"/>
              </w:rPr>
            </w:pPr>
            <w:r>
              <w:rPr>
                <w:rFonts w:ascii="Century Gothic" w:hAnsi="Century Gothic"/>
                <w:sz w:val="22"/>
                <w:szCs w:val="22"/>
                <w:lang w:val="el-GR" w:eastAsia="el-GR"/>
              </w:rPr>
              <w:t xml:space="preserve">Αχαρνές, </w:t>
            </w:r>
            <w:r>
              <w:rPr>
                <w:rFonts w:ascii="Century Gothic" w:hAnsi="Century Gothic"/>
                <w:sz w:val="22"/>
                <w:szCs w:val="22"/>
                <w:lang w:eastAsia="el-GR"/>
              </w:rPr>
              <w:t xml:space="preserve">9 </w:t>
            </w:r>
            <w:r>
              <w:rPr>
                <w:rFonts w:ascii="Century Gothic" w:hAnsi="Century Gothic"/>
                <w:sz w:val="22"/>
                <w:szCs w:val="22"/>
                <w:lang w:val="el-GR" w:eastAsia="el-GR"/>
              </w:rPr>
              <w:t>Φεβρουαρίου 202</w:t>
            </w:r>
            <w:r>
              <w:rPr>
                <w:rFonts w:ascii="Century Gothic" w:hAnsi="Century Gothic"/>
                <w:sz w:val="22"/>
                <w:szCs w:val="22"/>
                <w:lang w:eastAsia="el-GR"/>
              </w:rPr>
              <w:t>3</w:t>
            </w:r>
          </w:p>
        </w:tc>
      </w:tr>
    </w:tbl>
    <w:p>
      <w:pPr>
        <w:spacing w:before="240" w:after="240"/>
        <w:jc w:val="center"/>
        <w:rPr>
          <w:rFonts w:ascii="Century Gothic" w:hAnsi="Century Gothic" w:cs="Tahoma"/>
          <w:b/>
          <w:bCs/>
          <w:sz w:val="28"/>
          <w:szCs w:val="28"/>
          <w:lang w:val="el-GR"/>
        </w:rPr>
      </w:pPr>
      <w:r>
        <w:rPr>
          <w:rFonts w:ascii="Century Gothic" w:hAnsi="Century Gothic" w:cs="Tahoma"/>
          <w:b/>
          <w:bCs/>
          <w:sz w:val="28"/>
          <w:szCs w:val="28"/>
          <w:lang w:val="el-GR"/>
        </w:rPr>
        <w:t>ΔΕΛΤΙΟ ΤΥΠΟΥ</w:t>
      </w:r>
    </w:p>
    <w:p>
      <w:pPr>
        <w:spacing w:before="240" w:after="240"/>
        <w:jc w:val="center"/>
        <w:rPr>
          <w:rFonts w:ascii="Century Gothic" w:hAnsi="Century Gothic" w:cs="Tahoma"/>
          <w:b/>
          <w:bCs/>
          <w:sz w:val="28"/>
          <w:szCs w:val="28"/>
          <w:lang w:val="el-GR"/>
        </w:rPr>
      </w:pPr>
      <w:r>
        <w:rPr>
          <w:rFonts w:ascii="Century Gothic" w:hAnsi="Century Gothic" w:cs="Tahoma"/>
          <w:b/>
          <w:bCs/>
          <w:sz w:val="28"/>
          <w:szCs w:val="28"/>
          <w:lang w:val="el-GR"/>
        </w:rPr>
        <w:t xml:space="preserve">ΣΑΜΥ </w:t>
      </w:r>
      <w:r>
        <w:rPr>
          <w:rFonts w:ascii="Century Gothic" w:hAnsi="Century Gothic" w:cs="Tahoma"/>
          <w:b/>
          <w:bCs/>
          <w:sz w:val="28"/>
          <w:szCs w:val="28"/>
        </w:rPr>
        <w:t>II</w:t>
      </w:r>
      <w:r>
        <w:rPr>
          <w:rFonts w:ascii="Century Gothic" w:hAnsi="Century Gothic" w:cs="Tahoma"/>
          <w:b/>
          <w:bCs/>
          <w:sz w:val="28"/>
          <w:szCs w:val="28"/>
          <w:lang w:val="el-GR"/>
        </w:rPr>
        <w:t xml:space="preserve">: Απογράφηκαν 5.349 γεωτρήσεις στην Κρήτη από την ΕΑΓΜΕ </w:t>
      </w:r>
    </w:p>
    <w:p>
      <w:pPr>
        <w:jc w:val="both"/>
        <w:rPr>
          <w:rFonts w:ascii="Century Gothic" w:hAnsi="Century Gothic" w:cs="Century Gothic"/>
          <w:lang w:val="el-GR"/>
        </w:rPr>
      </w:pPr>
      <w:r>
        <w:rPr>
          <w:rFonts w:ascii="Century Gothic" w:hAnsi="Century Gothic" w:cs="Century Gothic"/>
          <w:lang w:val="el-GR"/>
        </w:rPr>
        <w:t xml:space="preserve">Ολοκληρώθηκαν την Τρίτη, 31 Ιανουαρίου 2023 από την Ελληνική Αρχή Γεωλογικών και Μεταλλευτικών Ερευνών (Ε.Α.Γ.Μ.Ε.) οι εργασίες πεδίου στο Υδατικό Διαμέρισμα της Κρήτης, στο πλαίσιο του Έργου Σ.Α.Μ.Υ. ΙΙ «Συστηματική απογραφή υδρογεωτρήσεων κάθε χρήσης σε όλη την Χώρα» </w:t>
      </w:r>
    </w:p>
    <w:p>
      <w:pPr>
        <w:jc w:val="both"/>
        <w:rPr>
          <w:rFonts w:ascii="Century Gothic" w:hAnsi="Century Gothic" w:cs="Century Gothic"/>
          <w:lang w:val="el-GR"/>
        </w:rPr>
      </w:pPr>
    </w:p>
    <w:p>
      <w:pPr>
        <w:jc w:val="both"/>
        <w:rPr>
          <w:rFonts w:ascii="Century Gothic" w:hAnsi="Century Gothic" w:cs="Century Gothic"/>
          <w:lang w:val="el-GR"/>
        </w:rPr>
      </w:pPr>
      <w:r>
        <w:rPr>
          <w:rFonts w:ascii="Century Gothic" w:hAnsi="Century Gothic" w:cs="Century Gothic"/>
          <w:lang w:val="el-GR"/>
        </w:rPr>
        <w:t>Απογράφηκαν συνολικά 5.349 υδρογεωτρήσεις.</w:t>
      </w:r>
    </w:p>
    <w:p>
      <w:pPr>
        <w:jc w:val="both"/>
        <w:rPr>
          <w:rFonts w:ascii="Century Gothic" w:hAnsi="Century Gothic" w:cs="Century Gothic"/>
          <w:lang w:val="el-GR"/>
        </w:rPr>
      </w:pPr>
    </w:p>
    <w:p>
      <w:pPr>
        <w:jc w:val="both"/>
        <w:rPr>
          <w:rFonts w:ascii="Century Gothic" w:hAnsi="Century Gothic" w:cs="Century Gothic"/>
          <w:lang w:val="el-GR"/>
        </w:rPr>
      </w:pPr>
      <w:r>
        <w:rPr>
          <w:rFonts w:ascii="Century Gothic" w:hAnsi="Century Gothic" w:cs="Century Gothic"/>
          <w:lang w:val="el-GR"/>
        </w:rPr>
        <w:t>Οι εργασίες πραγματοποιήθηκαν με αυτοψίες από το προσωπικό της Περιφερειακής Μονάδας Κρήτης της ΕΑΓΜΕ, μέσω επιτόπιας απογραφής των υδρογεωτρήσεων και συμπλήρωσης απογραφικών δελτίων με στοιχεία τεχνικά, πληροφοριακά, μετρήσεων και χρήσης. Τα δεδομένα που συγκεντρώθηκαν έχουν καταχωρηθεί στη συνολική ψηφιακή βάση δεδομένων (</w:t>
      </w:r>
      <w:r>
        <w:rPr>
          <w:rFonts w:ascii="Century Gothic" w:hAnsi="Century Gothic" w:cs="Century Gothic"/>
        </w:rPr>
        <w:t>geodatabase</w:t>
      </w:r>
      <w:r>
        <w:rPr>
          <w:rFonts w:ascii="Century Gothic" w:hAnsi="Century Gothic" w:cs="Century Gothic"/>
          <w:lang w:val="el-GR"/>
        </w:rPr>
        <w:t>) του Έργου.</w:t>
      </w:r>
    </w:p>
    <w:p>
      <w:pPr>
        <w:jc w:val="both"/>
        <w:rPr>
          <w:rFonts w:ascii="Century Gothic" w:hAnsi="Century Gothic" w:cs="Century Gothic"/>
          <w:lang w:val="el-GR"/>
        </w:rPr>
      </w:pPr>
    </w:p>
    <w:p>
      <w:pPr>
        <w:jc w:val="both"/>
        <w:rPr>
          <w:rFonts w:ascii="Century Gothic" w:hAnsi="Century Gothic" w:cs="Century Gothic"/>
          <w:lang w:val="el-GR"/>
        </w:rPr>
      </w:pPr>
      <w:r>
        <w:rPr>
          <w:rFonts w:ascii="Century Gothic" w:hAnsi="Century Gothic" w:cs="Century Gothic"/>
          <w:lang w:val="el-GR"/>
        </w:rPr>
        <w:t>Σκοπός του έργου ΣΑΜΥ II είναι η συστηματική και ολοκληρωμένη καταγραφή των υδρογεωτρήσεων κάθε χρήσης στο σύνολο των Υπόγειων Υδατικών Συστημάτων της χώρας, με στόχο τον υπολογισμό των απολήψιμων ποσοτήτων νερού, τόσο ανά χρήση (υδρευτική, αρδευτική, βιομηχανική, κ.λπ.), όσο και ανά Υπόγειο Υδατικό Σύστημα (Υ.Υ.Σ.).</w:t>
      </w:r>
    </w:p>
    <w:p>
      <w:pPr>
        <w:jc w:val="both"/>
        <w:rPr>
          <w:rFonts w:ascii="Century Gothic" w:hAnsi="Century Gothic" w:cs="Century Gothic"/>
          <w:lang w:val="el-GR"/>
        </w:rPr>
      </w:pPr>
    </w:p>
    <w:p>
      <w:pPr>
        <w:jc w:val="both"/>
        <w:rPr>
          <w:rFonts w:ascii="Century Gothic" w:hAnsi="Century Gothic" w:cs="Century Gothic"/>
          <w:lang w:val="el-GR"/>
        </w:rPr>
      </w:pPr>
      <w:r>
        <w:rPr>
          <w:rFonts w:ascii="Century Gothic" w:hAnsi="Century Gothic" w:cs="Century Gothic"/>
          <w:lang w:val="el-GR"/>
        </w:rPr>
        <w:t>Στο πλαίσιο του Έργου συντάσσονται Τεχνικές Εκθέσεις για τα Υπόγεια Υδατικά Συστήματα (Υ.Υ.Σ.) όπως αυτά έχουν καθοριστεί στα Σχέδια Διαχείρισης Λεκανών Απορροής. Ο όγκος δε των απολήψιμων ποσοτήτων νερού αποτελεί σημαντική παράμετρο για τον υπολογισμό των υδατικών ισοζυγίων, βοηθώντας στην αξιολόγηση της κατάστασης των Υπόγειων Υδατικών Συστημάτων και στην εκτίμηση των πιέσεων που δέχονται για τη λήψη κατάλληλων μέτρων, καθώς και την επίτευξη του στόχου της ορθολογικής τους διαχείρισης.</w:t>
      </w:r>
    </w:p>
    <w:p>
      <w:pPr>
        <w:jc w:val="both"/>
        <w:rPr>
          <w:rFonts w:ascii="Century Gothic" w:hAnsi="Century Gothic" w:cs="Century Gothic"/>
          <w:lang w:val="el-GR"/>
        </w:rPr>
      </w:pPr>
    </w:p>
    <w:p>
      <w:pPr>
        <w:jc w:val="both"/>
        <w:rPr>
          <w:rFonts w:ascii="Century Gothic" w:hAnsi="Century Gothic" w:cs="Century Gothic"/>
          <w:lang w:val="el-GR"/>
        </w:rPr>
      </w:pPr>
      <w:r>
        <w:rPr>
          <w:rFonts w:ascii="Century Gothic" w:hAnsi="Century Gothic" w:cs="Century Gothic"/>
          <w:lang w:val="el-GR"/>
        </w:rPr>
        <w:t xml:space="preserve">Τα αποτελέσματα του Έργου υποστηρίζουν τις δράσεις της </w:t>
      </w:r>
      <w:bookmarkStart w:id="0" w:name="_Hlk126763037"/>
      <w:r>
        <w:rPr>
          <w:rFonts w:ascii="Century Gothic" w:hAnsi="Century Gothic" w:cs="Century Gothic"/>
          <w:lang w:val="el-GR"/>
        </w:rPr>
        <w:t xml:space="preserve">Γενικής Διεύθυνσης Υδάτων </w:t>
      </w:r>
      <w:bookmarkEnd w:id="0"/>
      <w:r>
        <w:rPr>
          <w:rFonts w:ascii="Century Gothic" w:hAnsi="Century Gothic" w:cs="Century Gothic"/>
          <w:lang w:val="el-GR"/>
        </w:rPr>
        <w:t>του Υπουργείου Περιβάλλοντος &amp; Ενέργειας (ΥΠΕΝ) και έχουν σκοπό να ενισχύσουν την υδατική πολιτική της χώρας, τη διασφάλιση της ποιότητας και της ποσότητας του υδατικού πλούτου της, τηρώντας παράλληλα τις υποχρεώσεις που απορρέουν από τις Οδηγίες της Ευρωπαϊκής Ένωσης (60/2000/ΕΚ, 118/2006/ΕΚ και 91/676/ΕΟΚ).</w:t>
      </w:r>
    </w:p>
    <w:p>
      <w:pPr>
        <w:jc w:val="both"/>
        <w:rPr>
          <w:rFonts w:ascii="Century Gothic" w:hAnsi="Century Gothic" w:cs="Century Gothic"/>
          <w:lang w:val="el-GR"/>
        </w:rPr>
      </w:pPr>
    </w:p>
    <w:p>
      <w:pPr>
        <w:jc w:val="both"/>
        <w:rPr>
          <w:rFonts w:ascii="Century Gothic" w:hAnsi="Century Gothic" w:cs="Century Gothic"/>
          <w:lang w:val="el-GR"/>
        </w:rPr>
      </w:pPr>
      <w:r>
        <w:rPr>
          <w:rFonts w:ascii="Century Gothic" w:hAnsi="Century Gothic"/>
          <w:lang w:val="el-GR"/>
        </w:rPr>
        <w:t>Το έργο χρηματοδοτείται από το Επιχειρησιακό Πρόγραμμα «Υποδομές Μεταφορών, Περιβάλλον και Αειφόρος Ανάπτυξη» του ΕΣΠΑ 2014-2020(2023).</w:t>
      </w:r>
    </w:p>
    <w:p>
      <w:pPr>
        <w:spacing w:after="240"/>
        <w:jc w:val="both"/>
        <w:rPr>
          <w:rFonts w:ascii="Century Gothic" w:hAnsi="Century Gothic" w:cs="Arial"/>
          <w:lang w:val="el-GR"/>
        </w:rPr>
      </w:pPr>
    </w:p>
    <w:p>
      <w:pPr>
        <w:jc w:val="both"/>
        <w:rPr>
          <w:lang w:val="el-GR"/>
        </w:rPr>
      </w:pPr>
    </w:p>
    <w:sectPr>
      <w:pgSz w:w="11906" w:h="16838"/>
      <w:pgMar w:top="567" w:right="567" w:bottom="567" w:left="56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altName w:val="Yu Gothic"/>
    <w:panose1 w:val="020B0604020202020204"/>
    <w:charset w:val="80"/>
    <w:family w:val="swiss"/>
    <w:pitch w:val="default"/>
    <w:sig w:usb0="00000000" w:usb1="00000000" w:usb2="0000003F" w:usb3="00000000" w:csb0="003F01FF" w:csb1="00000000"/>
  </w:font>
  <w:font w:name="Yu Gothic">
    <w:panose1 w:val="020B0400000000000000"/>
    <w:charset w:val="80"/>
    <w:family w:val="auto"/>
    <w:pitch w:val="default"/>
    <w:sig w:usb0="E00002FF" w:usb1="2AC7FDFF" w:usb2="00000016" w:usb3="00000000" w:csb0="2002009F" w:csb1="00000000"/>
  </w:font>
  <w:font w:name="Helvetica Neue">
    <w:altName w:val="Arial"/>
    <w:panose1 w:val="00000000000000000000"/>
    <w:charset w:val="00"/>
    <w:family w:val="roman"/>
    <w:pitch w:val="default"/>
    <w:sig w:usb0="00000000" w:usb1="00000000" w:usb2="00000000" w:usb3="00000000" w:csb0="00000000" w:csb1="00000000"/>
  </w:font>
  <w:font w:name="Verdana">
    <w:panose1 w:val="020B0604030504040204"/>
    <w:charset w:val="A1"/>
    <w:family w:val="swiss"/>
    <w:pitch w:val="default"/>
    <w:sig w:usb0="A00006FF" w:usb1="4000205B" w:usb2="00000010" w:usb3="00000000" w:csb0="2000019F" w:csb1="00000000"/>
  </w:font>
  <w:font w:name="Century Gothic">
    <w:panose1 w:val="020B0502020202020204"/>
    <w:charset w:val="A1"/>
    <w:family w:val="swiss"/>
    <w:pitch w:val="default"/>
    <w:sig w:usb0="00000287" w:usb1="00000000" w:usb2="00000000" w:usb3="00000000" w:csb0="2000009F" w:csb1="DFD70000"/>
  </w:font>
  <w:font w:name="Tahoma">
    <w:panose1 w:val="020B0604030504040204"/>
    <w:charset w:val="A1"/>
    <w:family w:val="swiss"/>
    <w:pitch w:val="default"/>
    <w:sig w:usb0="E1002EFF" w:usb1="C000605B" w:usb2="00000029" w:usb3="00000000" w:csb0="200101FF" w:csb1="20280000"/>
  </w:font>
  <w:font w:name="Arial">
    <w:panose1 w:val="020B0604020202020204"/>
    <w:charset w:val="A1"/>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47"/>
    <w:rsid w:val="00081F29"/>
    <w:rsid w:val="000F40EB"/>
    <w:rsid w:val="002E5E6C"/>
    <w:rsid w:val="0047122E"/>
    <w:rsid w:val="00475330"/>
    <w:rsid w:val="005B773D"/>
    <w:rsid w:val="00611E65"/>
    <w:rsid w:val="00643E32"/>
    <w:rsid w:val="00656318"/>
    <w:rsid w:val="00684E26"/>
    <w:rsid w:val="006971E5"/>
    <w:rsid w:val="006B0E85"/>
    <w:rsid w:val="00824BCA"/>
    <w:rsid w:val="00824ECE"/>
    <w:rsid w:val="00920482"/>
    <w:rsid w:val="00A945F5"/>
    <w:rsid w:val="00CB6C47"/>
    <w:rsid w:val="00DC1E47"/>
    <w:rsid w:val="00EB032C"/>
    <w:rsid w:val="00F331D1"/>
    <w:rsid w:val="00F85002"/>
    <w:rsid w:val="00FC7393"/>
    <w:rsid w:val="2A2A7971"/>
    <w:rsid w:val="2B4A24B6"/>
    <w:rsid w:val="3FAD3EED"/>
  </w:rsids>
  <m:mathPr>
    <m:mathFont m:val="Cambria Math"/>
    <m:brkBin m:val="before"/>
    <m:brkBinSub m:val="--"/>
    <m:smallFrac m:val="0"/>
    <m:dispDef/>
    <m:lMargin m:val="0"/>
    <m:rMargin m:val="0"/>
    <m:defJc m:val="centerGroup"/>
    <m:wrapIndent m:val="1440"/>
    <m:intLim m:val="subSup"/>
    <m:naryLim m:val="undOvr"/>
  </m:mathPr>
  <w:doNotAutoCompressPictures/>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Times New Roman"/>
      <w:sz w:val="24"/>
      <w:szCs w:val="24"/>
      <w:lang w:val="en-US" w:eastAsia="en-US" w:bidi="ar-SA"/>
    </w:rPr>
  </w:style>
  <w:style w:type="paragraph" w:styleId="2">
    <w:name w:val="heading 1"/>
    <w:basedOn w:val="1"/>
    <w:next w:val="1"/>
    <w:link w:val="8"/>
    <w:qFormat/>
    <w:uiPriority w:val="0"/>
    <w:pPr>
      <w:keepNext/>
      <w:tabs>
        <w:tab w:val="left" w:pos="1705"/>
      </w:tabs>
      <w:overflowPunct w:val="0"/>
      <w:autoSpaceDE w:val="0"/>
      <w:autoSpaceDN w:val="0"/>
      <w:adjustRightInd w:val="0"/>
      <w:textAlignment w:val="baseline"/>
      <w:outlineLvl w:val="0"/>
    </w:pPr>
    <w:rPr>
      <w:rFonts w:eastAsia="Times New Roman"/>
      <w:b/>
      <w:szCs w:val="20"/>
      <w:lang w:val="zh-CN" w:eastAsia="zh-C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14:textFill>
        <w14:solidFill>
          <w14:schemeClr w14:val="hlink"/>
        </w14:solidFill>
      </w14:textFill>
    </w:rPr>
  </w:style>
  <w:style w:type="table" w:styleId="6">
    <w:name w:val="Table Grid"/>
    <w:basedOn w:val="4"/>
    <w:qFormat/>
    <w:uiPriority w:val="0"/>
    <w:rPr>
      <w:rFonts w:ascii="Times New Roman" w:hAnsi="Times New Roman" w:eastAsia="Arial Unicode M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Unresolved Mention1"/>
    <w:basedOn w:val="3"/>
    <w:semiHidden/>
    <w:unhideWhenUsed/>
    <w:uiPriority w:val="99"/>
    <w:rPr>
      <w:color w:val="605E5C"/>
      <w:shd w:val="clear" w:color="auto" w:fill="E1DFDD"/>
    </w:rPr>
  </w:style>
  <w:style w:type="character" w:customStyle="1" w:styleId="8">
    <w:name w:val="Heading 1 Char"/>
    <w:basedOn w:val="3"/>
    <w:link w:val="2"/>
    <w:qFormat/>
    <w:uiPriority w:val="0"/>
    <w:rPr>
      <w:rFonts w:ascii="Times New Roman" w:hAnsi="Times New Roman" w:eastAsia="Times New Roman" w:cs="Times New Roman"/>
      <w:b/>
      <w:sz w:val="24"/>
      <w:szCs w:val="20"/>
      <w:lang w:val="zh-CN" w:eastAsia="zh-CN"/>
    </w:rPr>
  </w:style>
  <w:style w:type="paragraph" w:customStyle="1" w:styleId="9">
    <w:name w:val="Body"/>
    <w:qFormat/>
    <w:uiPriority w:val="0"/>
    <w:rPr>
      <w:rFonts w:ascii="Helvetica Neue" w:hAnsi="Helvetica Neue" w:eastAsia="Arial Unicode MS" w:cs="Arial Unicode MS"/>
      <w:color w:val="000000"/>
      <w:sz w:val="22"/>
      <w:szCs w:val="22"/>
      <w:lang w:val="el-GR" w:eastAsia="el-GR" w:bidi="ar-SA"/>
    </w:rPr>
  </w:style>
  <w:style w:type="paragraph" w:styleId="10">
    <w:name w:val="No Spacing"/>
    <w:uiPriority w:val="0"/>
    <w:pPr>
      <w:suppressAutoHyphens/>
      <w:autoSpaceDN w:val="0"/>
    </w:pPr>
    <w:rPr>
      <w:rFonts w:ascii="Calibri" w:hAnsi="Calibri" w:eastAsia="Calibri" w:cs="Times New Roman"/>
      <w:sz w:val="22"/>
      <w:szCs w:val="22"/>
      <w:lang w:val="el-GR"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375</Words>
  <Characters>2025</Characters>
  <Lines>16</Lines>
  <Paragraphs>4</Paragraphs>
  <TotalTime>13</TotalTime>
  <ScaleCrop>false</ScaleCrop>
  <LinksUpToDate>false</LinksUpToDate>
  <CharactersWithSpaces>2396</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2023-02-09T10:27:00Z</dcterms:created>
  <dc:creator>Dionysios Gkoutis</dc:creator>
  <cp:lastModifiedBy>gtzan</cp:lastModifiedBy>
  <dcterms:modified xsi:type="dcterms:W3CDTF">2023-02-09T10:38:13Z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6CDBA18F82814B70AFFC75C854BA072A</vt:lpwstr>
  </property>
</Properties>
</file>