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123D" w14:textId="2DECEAEF" w:rsidR="006A34C8" w:rsidRPr="005C1BD8" w:rsidRDefault="00D20D78" w:rsidP="006A34C8">
      <w:pPr>
        <w:jc w:val="right"/>
        <w:rPr>
          <w:rFonts w:ascii="Trebuchet MS" w:hAnsi="Trebuchet MS"/>
          <w:sz w:val="22"/>
          <w:szCs w:val="22"/>
          <w:lang w:val="el-GR"/>
        </w:rPr>
      </w:pPr>
      <w:r>
        <w:rPr>
          <w:rFonts w:ascii="Trebuchet MS" w:hAnsi="Trebuchet MS"/>
          <w:sz w:val="22"/>
          <w:szCs w:val="22"/>
          <w:lang w:val="el-GR"/>
        </w:rPr>
        <w:t>Πέμπτη</w:t>
      </w:r>
      <w:r w:rsidR="006A34C8" w:rsidRPr="003271DE">
        <w:rPr>
          <w:rFonts w:ascii="Trebuchet MS" w:hAnsi="Trebuchet MS"/>
          <w:sz w:val="22"/>
          <w:szCs w:val="22"/>
          <w:lang w:val="el-GR"/>
        </w:rPr>
        <w:t xml:space="preserve"> </w:t>
      </w:r>
      <w:r w:rsidR="005C1BD8" w:rsidRPr="003271DE">
        <w:rPr>
          <w:rFonts w:ascii="Trebuchet MS" w:hAnsi="Trebuchet MS"/>
          <w:sz w:val="22"/>
          <w:szCs w:val="22"/>
          <w:lang w:val="el-GR"/>
        </w:rPr>
        <w:t>1</w:t>
      </w:r>
      <w:r>
        <w:rPr>
          <w:rFonts w:ascii="Trebuchet MS" w:hAnsi="Trebuchet MS"/>
          <w:sz w:val="22"/>
          <w:szCs w:val="22"/>
          <w:lang w:val="el-GR"/>
        </w:rPr>
        <w:t>8</w:t>
      </w:r>
      <w:r w:rsidR="006A34C8" w:rsidRPr="003271DE">
        <w:rPr>
          <w:rFonts w:ascii="Trebuchet MS" w:hAnsi="Trebuchet MS"/>
          <w:sz w:val="22"/>
          <w:szCs w:val="22"/>
          <w:lang w:val="el-GR"/>
        </w:rPr>
        <w:t xml:space="preserve"> </w:t>
      </w:r>
      <w:r w:rsidR="005C1BD8" w:rsidRPr="003271DE">
        <w:rPr>
          <w:rFonts w:ascii="Trebuchet MS" w:hAnsi="Trebuchet MS"/>
          <w:sz w:val="22"/>
          <w:szCs w:val="22"/>
          <w:lang w:val="el-GR"/>
        </w:rPr>
        <w:t xml:space="preserve">Νοεμβρίου </w:t>
      </w:r>
      <w:r w:rsidR="006A34C8" w:rsidRPr="003271DE">
        <w:rPr>
          <w:rFonts w:ascii="Trebuchet MS" w:hAnsi="Trebuchet MS"/>
          <w:sz w:val="22"/>
          <w:szCs w:val="22"/>
          <w:lang w:val="el-GR"/>
        </w:rPr>
        <w:t>2021</w:t>
      </w:r>
    </w:p>
    <w:p w14:paraId="7E0892A3" w14:textId="77777777" w:rsidR="006A34C8" w:rsidRPr="005C1BD8" w:rsidRDefault="006A34C8" w:rsidP="006A34C8">
      <w:pPr>
        <w:rPr>
          <w:rFonts w:ascii="Trebuchet MS" w:hAnsi="Trebuchet MS"/>
          <w:sz w:val="22"/>
          <w:szCs w:val="22"/>
          <w:lang w:val="el-GR"/>
        </w:rPr>
      </w:pPr>
    </w:p>
    <w:p w14:paraId="72BC9B26" w14:textId="260621EC" w:rsidR="00680246" w:rsidRPr="00680246" w:rsidRDefault="00680246" w:rsidP="00680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jc w:val="center"/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</w:pPr>
      <w:r w:rsidRPr="00680246">
        <w:rPr>
          <w:rFonts w:ascii="Trebuchet MS" w:eastAsia="Times New Roman" w:hAnsi="Trebuchet MS" w:cs="Calibri"/>
          <w:b/>
          <w:bCs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Δελτίο Τύπου</w:t>
      </w:r>
    </w:p>
    <w:p w14:paraId="4899013B" w14:textId="75693B60" w:rsidR="00680246" w:rsidRPr="00680246" w:rsidRDefault="00680246" w:rsidP="00680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rPr>
          <w:rFonts w:ascii="Trebuchet MS" w:eastAsia="Times New Roman" w:hAnsi="Trebuchet MS" w:cs="Calibri"/>
          <w:b/>
          <w:bCs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</w:pPr>
      <w:r w:rsidRPr="00680246">
        <w:rPr>
          <w:rFonts w:ascii="Trebuchet MS" w:eastAsia="Times New Roman" w:hAnsi="Trebuchet MS" w:cs="Calibri"/>
          <w:b/>
          <w:bCs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Συμφωνία συνεργασίας</w:t>
      </w:r>
      <w:r w:rsidR="006D2DFC" w:rsidRPr="005C1BD8">
        <w:rPr>
          <w:rFonts w:ascii="Trebuchet MS" w:eastAsia="Times New Roman" w:hAnsi="Trebuchet MS" w:cs="Calibri"/>
          <w:b/>
          <w:bCs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για τη χορήγηση Διπλωμάτων </w:t>
      </w:r>
      <w:r w:rsidR="006D2DFC" w:rsidRPr="00680246">
        <w:rPr>
          <w:rFonts w:ascii="Trebuchet MS" w:eastAsia="Times New Roman" w:hAnsi="Trebuchet MS" w:cs="Calibri"/>
          <w:b/>
          <w:bCs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Γερμανικής Γλώσσας</w:t>
      </w:r>
    </w:p>
    <w:p w14:paraId="30D11B29" w14:textId="667FEB90" w:rsidR="00680246" w:rsidRPr="00680246" w:rsidRDefault="00680246" w:rsidP="00327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jc w:val="both"/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</w:pP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Συμφωνία συνεργασίας υπέγραψαν</w:t>
      </w:r>
      <w:r w:rsidR="00D821BF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το εκπαιδευτικό κέντρο DUAL HELLAS του Ελληνογερμανικού Εμπορικού και Βιομηχανικού Επιμελητηρίου και η </w:t>
      </w:r>
      <w:bookmarkStart w:id="0" w:name="_Hlk87518927"/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Κεντρική Υπηρεσία Σχολείων Εξωτερικού</w:t>
      </w:r>
      <w:r w:rsidR="00B41579" w:rsidRPr="00B41579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(</w:t>
      </w:r>
      <w:r w:rsidR="00B41579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eastAsia="el-GR"/>
          <w14:textOutline w14:w="0" w14:cap="rnd" w14:cmpd="sng" w14:algn="ctr">
            <w14:noFill/>
            <w14:prstDash w14:val="solid"/>
            <w14:bevel/>
          </w14:textOutline>
        </w:rPr>
        <w:t>ZfA</w:t>
      </w:r>
      <w:r w:rsidR="00B41579" w:rsidRPr="00D20D7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που υπάγεται στο </w:t>
      </w:r>
      <w:r w:rsidR="003271DE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Υ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πουργείο Εξωτερικών της Γερμανίας.</w:t>
      </w:r>
    </w:p>
    <w:bookmarkEnd w:id="0"/>
    <w:p w14:paraId="610BCEDB" w14:textId="2B6120D4" w:rsidR="00680246" w:rsidRPr="00680246" w:rsidRDefault="00680246" w:rsidP="00327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jc w:val="both"/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</w:pP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Πρόκειται για μια συνεργασία που συνάδει με τον νέο προσανατολισμό της ελληνογερμανικής εκπαιδευτικής συνεργασίας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σε θέματα επαγγελματικής κατάρτισης και γενικότερα εκπαίδευσης. Α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ποτελεί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, δε,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ένα πρώτο βήμα προς τη μελλοντική συμμετοχή των εκπαιδευομένων της DUAL HELLAS στις εξετάσεις «Δίπλωμα Γερμανικής Γλώσσας - Πρώτο Επίπεδο για Επαγγελματικά Σχολεία (DSD I PRO)» της Μόνιμης Διάσκεψης των Υπουργών Παιδείας και Πολιτισμού των Ομόσπονδων Κρατιδίων της Ομοσπονδιακής Δημοκρατίας της Γερμανίας (KMK).</w:t>
      </w:r>
    </w:p>
    <w:p w14:paraId="1D0B9508" w14:textId="77777777" w:rsidR="00680246" w:rsidRPr="00680246" w:rsidRDefault="00680246" w:rsidP="00327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jc w:val="both"/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</w:pP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Σημειώνεται ότι, η επιτυχία στις εξετάσεις DSD I PRO αποδεικνύει γνώση της γερμανικής γλώσσας στο επίπεδο Β1, του Κοινού Ευρωπαϊκού Πλαισίου Αναφοράς για τις Γλώσσες.</w:t>
      </w:r>
    </w:p>
    <w:p w14:paraId="606115D7" w14:textId="1278F5E7" w:rsidR="00680246" w:rsidRPr="00680246" w:rsidRDefault="00680246" w:rsidP="00327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jc w:val="both"/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</w:pP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Ειδικότερα</w:t>
      </w:r>
      <w:r w:rsidR="003271DE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για τους εκπαιδευόμενους στον τομέα του τουρισμού και της γαστρονομίας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, που συμμετέχουν 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στο εκπαιδευτικό κέντρο DUAL HELLAS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του Ελληνογερμανικού Επιμελητηρίου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, η δυνατότητα συμμετοχή</w:t>
      </w:r>
      <w:r w:rsidR="003271DE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ς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τους στις προαναφερόμενες εξετάσεις 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λειτουργεί ενισχυτικά για 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την επαγγελματική τους επιτυχία.</w:t>
      </w:r>
    </w:p>
    <w:p w14:paraId="078FD351" w14:textId="0DA58727" w:rsidR="00680246" w:rsidRPr="00680246" w:rsidRDefault="00680246" w:rsidP="00327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35" w:lineRule="atLeast"/>
        <w:jc w:val="both"/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</w:pP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Τη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διμερή 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συμφωνία 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για την πιστοποίηση της γνώσης στη γερμανική γλώσσα, 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υπέγραψαν ο Δρ. Αθανάσιος Κελέμης, Γενικός Διευθυντής και Μέλος Δ.Σ.</w:t>
      </w:r>
      <w:r w:rsidR="003271DE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του 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Ελληνογερμανικού Εμπορικού και Βιομηχανικού Επιμελητηρίου κι η κ</w:t>
      </w:r>
      <w:r w:rsidR="003271DE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α</w:t>
      </w:r>
      <w:r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Kristina Wiskamp, Σύμβουλος Γερμανικής Γλώσσας 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της </w:t>
      </w:r>
      <w:r w:rsidR="006D2DFC"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Κεντρική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ς</w:t>
      </w:r>
      <w:r w:rsidR="006D2DFC"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Υπηρεσία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ς</w:t>
      </w:r>
      <w:r w:rsidR="006D2DFC" w:rsidRPr="00680246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 xml:space="preserve"> Σχολείων Εξωτερικού, </w:t>
      </w:r>
      <w:r w:rsidR="006D2DFC" w:rsidRPr="005C1BD8">
        <w:rPr>
          <w:rFonts w:ascii="Trebuchet MS" w:eastAsia="Times New Roman" w:hAnsi="Trebuchet MS" w:cs="Calibri"/>
          <w:color w:val="222222"/>
          <w:sz w:val="22"/>
          <w:szCs w:val="22"/>
          <w:bdr w:val="none" w:sz="0" w:space="0" w:color="auto"/>
          <w:lang w:val="el-GR" w:eastAsia="el-GR"/>
          <w14:textOutline w14:w="0" w14:cap="rnd" w14:cmpd="sng" w14:algn="ctr">
            <w14:noFill/>
            <w14:prstDash w14:val="solid"/>
            <w14:bevel/>
          </w14:textOutline>
        </w:rPr>
        <w:t>του ΥΠΕΞ Γερμανίας.</w:t>
      </w:r>
    </w:p>
    <w:p w14:paraId="179AF270" w14:textId="0F506E22" w:rsidR="0060413B" w:rsidRPr="005C1BD8" w:rsidRDefault="0060413B" w:rsidP="003271DE">
      <w:pPr>
        <w:jc w:val="both"/>
        <w:rPr>
          <w:rFonts w:ascii="Trebuchet MS" w:hAnsi="Trebuchet MS" w:cstheme="minorHAnsi"/>
          <w:sz w:val="22"/>
          <w:szCs w:val="22"/>
          <w:lang w:val="el-GR"/>
        </w:rPr>
      </w:pPr>
    </w:p>
    <w:p w14:paraId="48079E6D" w14:textId="77777777" w:rsidR="005C1BD8" w:rsidRPr="005C1BD8" w:rsidRDefault="005C1BD8" w:rsidP="003271DE">
      <w:pPr>
        <w:jc w:val="both"/>
        <w:rPr>
          <w:rFonts w:ascii="Trebuchet MS" w:hAnsi="Trebuchet MS" w:cstheme="minorHAnsi"/>
          <w:sz w:val="22"/>
          <w:szCs w:val="22"/>
          <w:lang w:val="el-GR"/>
        </w:rPr>
      </w:pPr>
    </w:p>
    <w:sectPr w:rsidR="005C1BD8" w:rsidRPr="005C1BD8" w:rsidSect="00F105B6">
      <w:headerReference w:type="default" r:id="rId8"/>
      <w:footerReference w:type="even" r:id="rId9"/>
      <w:footerReference w:type="default" r:id="rId10"/>
      <w:pgSz w:w="11906" w:h="16838"/>
      <w:pgMar w:top="1843" w:right="707" w:bottom="144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2099" w14:textId="77777777" w:rsidR="00731DAF" w:rsidRDefault="00731DAF" w:rsidP="00360BCB">
      <w:r>
        <w:separator/>
      </w:r>
    </w:p>
  </w:endnote>
  <w:endnote w:type="continuationSeparator" w:id="0">
    <w:p w14:paraId="44D1743D" w14:textId="77777777" w:rsidR="00731DAF" w:rsidRDefault="00731DAF" w:rsidP="0036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9C42" w14:textId="77777777" w:rsidR="003C4BF3" w:rsidRDefault="00F934D6" w:rsidP="002B27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4B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3447A5" w14:textId="77777777" w:rsidR="003C4BF3" w:rsidRDefault="003C4BF3" w:rsidP="00360B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7583565"/>
      <w:docPartObj>
        <w:docPartGallery w:val="Page Numbers (Bottom of Page)"/>
        <w:docPartUnique/>
      </w:docPartObj>
    </w:sdtPr>
    <w:sdtEndPr/>
    <w:sdtContent>
      <w:sdt>
        <w:sdtPr>
          <w:id w:val="622892233"/>
          <w:docPartObj>
            <w:docPartGallery w:val="Page Numbers (Top of Page)"/>
            <w:docPartUnique/>
          </w:docPartObj>
        </w:sdtPr>
        <w:sdtEndPr/>
        <w:sdtContent>
          <w:p w14:paraId="739D50D4" w14:textId="77777777" w:rsidR="00534A59" w:rsidRPr="00BB18AC" w:rsidRDefault="00534A59" w:rsidP="00534A59">
            <w:pPr>
              <w:pStyle w:val="Footer"/>
              <w:pBdr>
                <w:bottom w:val="single" w:sz="12" w:space="1" w:color="auto"/>
              </w:pBdr>
              <w:jc w:val="righ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34A59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672DFF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instrText>PAGE</w:instrText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Pr="004329E8"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1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Pr="00BC6DC2">
              <w:rPr>
                <w:rFonts w:ascii="Trebuchet MS" w:hAnsi="Trebuchet MS"/>
                <w:sz w:val="18"/>
                <w:szCs w:val="18"/>
              </w:rPr>
              <w:t xml:space="preserve"> / 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</w:instrText>
            </w:r>
            <w:r w:rsidRPr="00672DFF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instrText>NUMPAGES</w:instrText>
            </w:r>
            <w:r w:rsidRPr="00BC6DC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 </w:instrTex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Pr="004329E8"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1</w:t>
            </w:r>
            <w:r w:rsidRPr="00A33A47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  <w:p w14:paraId="7532B838" w14:textId="77777777" w:rsidR="00534A59" w:rsidRDefault="004329E8" w:rsidP="00672DFF">
            <w:pPr>
              <w:pStyle w:val="Footer"/>
              <w:jc w:val="center"/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</w:pPr>
            <w:r>
              <w:rPr>
                <w:rFonts w:ascii="Trebuchet MS" w:hAnsi="Trebuchet MS" w:cs="Palatino Linotype"/>
                <w:b/>
                <w:bCs/>
                <w:noProof/>
                <w:color w:val="005696"/>
                <w:sz w:val="18"/>
                <w:szCs w:val="18"/>
              </w:rPr>
              <w:drawing>
                <wp:inline distT="0" distB="0" distL="0" distR="0" wp14:anchorId="5FCB262C" wp14:editId="0F844E4A">
                  <wp:extent cx="1271995" cy="231816"/>
                  <wp:effectExtent l="0" t="0" r="4445" b="0"/>
                  <wp:docPr id="1" name="Grafik 1" descr="Ein Bild, das Objek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_PartnerForGrowth_positiv_transparent.pn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161" cy="2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D22911" w14:textId="77777777" w:rsidR="00A33A47" w:rsidRPr="00C73313" w:rsidRDefault="00C73313" w:rsidP="00672DFF">
            <w:pPr>
              <w:pStyle w:val="Footer"/>
              <w:jc w:val="center"/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</w:pPr>
            <w:r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>ΕΛΛΗΝΟΓΕΡΜΑΝΙΚΟ</w:t>
            </w:r>
            <w:r w:rsidRPr="00C73313"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>ΕΜΠΟΡΙΚΟ</w:t>
            </w:r>
            <w:r w:rsidRPr="00C73313"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 xml:space="preserve"> </w:t>
            </w:r>
            <w:r w:rsidR="006E3E3C"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>ΚΑΙ ΒΙΟΜΗΧΑΝΙΚΟ ΕΠΙΜΕΛΗΤΗ</w:t>
            </w:r>
            <w:r>
              <w:rPr>
                <w:rFonts w:ascii="Trebuchet MS" w:hAnsi="Trebuchet MS" w:cs="Palatino Linotype"/>
                <w:b/>
                <w:bCs/>
                <w:color w:val="005696"/>
                <w:sz w:val="18"/>
                <w:szCs w:val="18"/>
              </w:rPr>
              <w:t>ΡΙΟ</w:t>
            </w:r>
          </w:p>
          <w:p w14:paraId="5A7E3A3B" w14:textId="77777777" w:rsidR="00A33A47" w:rsidRPr="006A34C8" w:rsidRDefault="00C73313" w:rsidP="00672DFF">
            <w:pPr>
              <w:tabs>
                <w:tab w:val="center" w:pos="4153"/>
                <w:tab w:val="right" w:pos="8306"/>
              </w:tabs>
              <w:jc w:val="center"/>
              <w:outlineLvl w:val="0"/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</w:pPr>
            <w:r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Δορυλαίου </w:t>
            </w:r>
            <w:r w:rsidR="00A33A47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10-12, 115</w:t>
            </w:r>
            <w:r w:rsidR="002748BC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 </w:t>
            </w:r>
            <w:r w:rsidR="00A33A47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21 </w:t>
            </w:r>
            <w:r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Αθήνα</w:t>
            </w:r>
            <w:r w:rsidR="00A33A47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, </w:t>
            </w:r>
            <w:r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Τηλ</w:t>
            </w:r>
            <w:r w:rsidR="00A33A47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.: +30 210 6419000, </w:t>
            </w:r>
            <w:r w:rsidR="00A33A47" w:rsidRPr="00C73313">
              <w:rPr>
                <w:rFonts w:ascii="Trebuchet MS" w:eastAsia="Calibri" w:hAnsi="Trebuchet MS" w:cs="Palatino Linotype"/>
                <w:sz w:val="18"/>
                <w:szCs w:val="18"/>
                <w:lang w:val="de-DE" w:eastAsia="el-GR"/>
              </w:rPr>
              <w:t>Fax</w:t>
            </w:r>
            <w:r w:rsidR="00A33A47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: +30 21</w:t>
            </w:r>
            <w:r w:rsidR="00672DFF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 xml:space="preserve">0 6445175, </w:t>
            </w:r>
            <w:r w:rsidR="00672DFF" w:rsidRPr="00C73313">
              <w:rPr>
                <w:rFonts w:ascii="Trebuchet MS" w:eastAsia="Calibri" w:hAnsi="Trebuchet MS" w:cs="Palatino Linotype"/>
                <w:sz w:val="18"/>
                <w:szCs w:val="18"/>
                <w:lang w:val="de-DE" w:eastAsia="el-GR"/>
              </w:rPr>
              <w:t>ahkathen</w:t>
            </w:r>
            <w:r w:rsidR="00672DFF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@</w:t>
            </w:r>
            <w:r w:rsidR="00672DFF" w:rsidRPr="00C73313">
              <w:rPr>
                <w:rFonts w:ascii="Trebuchet MS" w:eastAsia="Calibri" w:hAnsi="Trebuchet MS" w:cs="Palatino Linotype"/>
                <w:sz w:val="18"/>
                <w:szCs w:val="18"/>
                <w:lang w:val="de-DE" w:eastAsia="el-GR"/>
              </w:rPr>
              <w:t>ahk</w:t>
            </w:r>
            <w:r w:rsidR="00672DFF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.</w:t>
            </w:r>
            <w:r w:rsidR="00672DFF" w:rsidRPr="00C73313">
              <w:rPr>
                <w:rFonts w:ascii="Trebuchet MS" w:eastAsia="Calibri" w:hAnsi="Trebuchet MS" w:cs="Palatino Linotype"/>
                <w:sz w:val="18"/>
                <w:szCs w:val="18"/>
                <w:lang w:val="de-DE" w:eastAsia="el-GR"/>
              </w:rPr>
              <w:t>com</w:t>
            </w:r>
            <w:r w:rsidR="00672DFF" w:rsidRPr="006A34C8">
              <w:rPr>
                <w:rFonts w:ascii="Trebuchet MS" w:eastAsia="Calibri" w:hAnsi="Trebuchet MS" w:cs="Palatino Linotype"/>
                <w:sz w:val="18"/>
                <w:szCs w:val="18"/>
                <w:lang w:val="el-GR" w:eastAsia="el-GR"/>
              </w:rPr>
              <w:t>.</w:t>
            </w:r>
            <w:r w:rsidR="00672DFF" w:rsidRPr="00C73313">
              <w:rPr>
                <w:rFonts w:ascii="Trebuchet MS" w:eastAsia="Calibri" w:hAnsi="Trebuchet MS" w:cs="Palatino Linotype"/>
                <w:sz w:val="18"/>
                <w:szCs w:val="18"/>
                <w:lang w:val="de-DE" w:eastAsia="el-GR"/>
              </w:rPr>
              <w:t>gr</w:t>
            </w:r>
          </w:p>
          <w:p w14:paraId="378CC718" w14:textId="77777777" w:rsidR="00672DFF" w:rsidRPr="00C73313" w:rsidRDefault="00C73313" w:rsidP="00672DFF">
            <w:pPr>
              <w:pStyle w:val="Footer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Βούλγαρη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 50, </w:t>
            </w:r>
            <w:r>
              <w:rPr>
                <w:rFonts w:ascii="Trebuchet MS" w:hAnsi="Trebuchet MS"/>
                <w:sz w:val="18"/>
                <w:szCs w:val="18"/>
              </w:rPr>
              <w:t>542</w:t>
            </w:r>
            <w:r w:rsidR="002748BC" w:rsidRPr="002748BC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48 </w:t>
            </w:r>
            <w:r>
              <w:rPr>
                <w:rFonts w:ascii="Trebuchet MS" w:hAnsi="Trebuchet MS"/>
                <w:sz w:val="18"/>
                <w:szCs w:val="18"/>
              </w:rPr>
              <w:t>Θεσσαλονίκη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</w:rPr>
              <w:t>Τηλ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.: +30 2310 327733, </w:t>
            </w:r>
            <w:r w:rsidR="00672DFF" w:rsidRPr="00E67331">
              <w:rPr>
                <w:rFonts w:ascii="Trebuchet MS" w:hAnsi="Trebuchet MS"/>
                <w:sz w:val="18"/>
                <w:szCs w:val="18"/>
                <w:lang w:val="en-US"/>
              </w:rPr>
              <w:t>Fax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 xml:space="preserve">: +30 2310 327737, </w:t>
            </w:r>
            <w:r w:rsidR="00672DFF" w:rsidRPr="00C73313">
              <w:rPr>
                <w:rFonts w:ascii="Trebuchet MS" w:hAnsi="Trebuchet MS"/>
                <w:sz w:val="18"/>
                <w:szCs w:val="18"/>
                <w:lang w:val="en-US"/>
              </w:rPr>
              <w:t>ahkthess</w:t>
            </w:r>
            <w:r w:rsidR="00672DFF" w:rsidRPr="00C73313">
              <w:rPr>
                <w:rFonts w:ascii="Trebuchet MS" w:hAnsi="Trebuchet MS"/>
                <w:sz w:val="18"/>
                <w:szCs w:val="18"/>
              </w:rPr>
              <w:t>@</w:t>
            </w:r>
            <w:r w:rsidR="00672DFF" w:rsidRPr="00C73313">
              <w:rPr>
                <w:rFonts w:ascii="Trebuchet MS" w:hAnsi="Trebuchet MS"/>
                <w:sz w:val="18"/>
                <w:szCs w:val="18"/>
                <w:lang w:val="en-US"/>
              </w:rPr>
              <w:t>ahk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com</w:t>
            </w:r>
            <w:r w:rsidRPr="00C73313">
              <w:rPr>
                <w:rFonts w:ascii="Trebuchet MS" w:hAnsi="Trebuchet MS"/>
                <w:sz w:val="18"/>
                <w:szCs w:val="18"/>
              </w:rPr>
              <w:t>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gr</w:t>
            </w:r>
          </w:p>
          <w:p w14:paraId="2EBEBF82" w14:textId="77777777" w:rsidR="00A33A47" w:rsidRPr="00272326" w:rsidRDefault="00672DFF" w:rsidP="00272326">
            <w:pPr>
              <w:pStyle w:val="Footer"/>
              <w:tabs>
                <w:tab w:val="clear" w:pos="8306"/>
                <w:tab w:val="right" w:pos="8460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www</w:t>
            </w:r>
            <w:r w:rsidRPr="00BC6DC2">
              <w:rPr>
                <w:rFonts w:ascii="Trebuchet MS" w:hAnsi="Trebuchet MS"/>
                <w:sz w:val="18"/>
                <w:szCs w:val="18"/>
              </w:rPr>
              <w:t>.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german</w:t>
            </w:r>
            <w:r w:rsidRPr="00BC6DC2">
              <w:rPr>
                <w:rFonts w:ascii="Trebuchet MS" w:hAnsi="Trebuchet MS"/>
                <w:sz w:val="18"/>
                <w:szCs w:val="18"/>
              </w:rPr>
              <w:t>-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chamber</w:t>
            </w:r>
            <w:r w:rsidRPr="00BC6DC2">
              <w:rPr>
                <w:rFonts w:ascii="Trebuchet MS" w:hAnsi="Trebuchet MS"/>
                <w:sz w:val="18"/>
                <w:szCs w:val="18"/>
              </w:rPr>
              <w:t>.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gr</w:t>
            </w:r>
            <w:r w:rsidRPr="00BC6DC2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www</w:t>
            </w:r>
            <w:r w:rsidRPr="00BC6DC2">
              <w:rPr>
                <w:rFonts w:ascii="Trebuchet MS" w:hAnsi="Trebuchet MS"/>
                <w:sz w:val="18"/>
                <w:szCs w:val="18"/>
              </w:rPr>
              <w:t>.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german</w:t>
            </w:r>
            <w:r w:rsidRPr="00BC6DC2">
              <w:rPr>
                <w:rFonts w:ascii="Trebuchet MS" w:hAnsi="Trebuchet MS"/>
                <w:sz w:val="18"/>
                <w:szCs w:val="18"/>
              </w:rPr>
              <w:t>-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fairs</w:t>
            </w:r>
            <w:r w:rsidRPr="00BC6DC2">
              <w:rPr>
                <w:rFonts w:ascii="Trebuchet MS" w:hAnsi="Trebuchet MS"/>
                <w:sz w:val="18"/>
                <w:szCs w:val="18"/>
              </w:rPr>
              <w:t>.</w:t>
            </w:r>
            <w:r w:rsidRPr="00C73313">
              <w:rPr>
                <w:rFonts w:ascii="Trebuchet MS" w:hAnsi="Trebuchet MS"/>
                <w:sz w:val="18"/>
                <w:szCs w:val="18"/>
                <w:lang w:val="en-US"/>
              </w:rPr>
              <w:t>gr</w:t>
            </w:r>
          </w:p>
        </w:sdtContent>
      </w:sdt>
    </w:sdtContent>
  </w:sdt>
  <w:p w14:paraId="66C5A542" w14:textId="77777777" w:rsidR="003C4BF3" w:rsidRPr="00272326" w:rsidRDefault="003C4BF3" w:rsidP="00360BCB">
    <w:pPr>
      <w:pStyle w:val="Footer"/>
      <w:ind w:right="360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347E" w14:textId="77777777" w:rsidR="00731DAF" w:rsidRDefault="00731DAF" w:rsidP="00360BCB">
      <w:r>
        <w:separator/>
      </w:r>
    </w:p>
  </w:footnote>
  <w:footnote w:type="continuationSeparator" w:id="0">
    <w:p w14:paraId="75FC339D" w14:textId="77777777" w:rsidR="00731DAF" w:rsidRDefault="00731DAF" w:rsidP="0036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D9F8" w14:textId="5E86BBA5" w:rsidR="00751F27" w:rsidRPr="00751F27" w:rsidRDefault="00C06100" w:rsidP="00440D29">
    <w:pPr>
      <w:pStyle w:val="Header"/>
      <w:tabs>
        <w:tab w:val="left" w:pos="0"/>
      </w:tabs>
      <w:rPr>
        <w:rFonts w:ascii="Trebuchet MS" w:hAnsi="Trebuchet MS"/>
        <w:bCs/>
        <w:color w:val="808080"/>
        <w:sz w:val="16"/>
        <w:szCs w:val="16"/>
      </w:rPr>
    </w:pPr>
    <w:r>
      <w:rPr>
        <w:rFonts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71894B5C" wp14:editId="0BB927BF">
          <wp:simplePos x="0" y="0"/>
          <wp:positionH relativeFrom="column">
            <wp:posOffset>4865370</wp:posOffset>
          </wp:positionH>
          <wp:positionV relativeFrom="paragraph">
            <wp:posOffset>-80010</wp:posOffset>
          </wp:positionV>
          <wp:extent cx="1571625" cy="781511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81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F0D">
      <w:rPr>
        <w:noProof/>
        <w:lang w:eastAsia="el-GR"/>
      </w:rPr>
      <w:drawing>
        <wp:inline distT="0" distB="0" distL="0" distR="0" wp14:anchorId="7516FA19" wp14:editId="42049BFF">
          <wp:extent cx="3390900" cy="676275"/>
          <wp:effectExtent l="0" t="0" r="0" b="9525"/>
          <wp:docPr id="4" name="Picture 4" descr="logoAHKath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HKath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854" cy="67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2B22" w:rsidRPr="00E4404E">
      <w:rPr>
        <w:rFonts w:ascii="Trebuchet MS" w:hAnsi="Trebuchet MS"/>
        <w:bCs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6D9"/>
    <w:multiLevelType w:val="hybridMultilevel"/>
    <w:tmpl w:val="8FB46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D5C"/>
    <w:multiLevelType w:val="hybridMultilevel"/>
    <w:tmpl w:val="47E0C6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D7B42"/>
    <w:multiLevelType w:val="hybridMultilevel"/>
    <w:tmpl w:val="E14A97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27DBD"/>
    <w:multiLevelType w:val="hybridMultilevel"/>
    <w:tmpl w:val="37CC0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5074"/>
    <w:multiLevelType w:val="hybridMultilevel"/>
    <w:tmpl w:val="3976C006"/>
    <w:lvl w:ilvl="0" w:tplc="602CF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3E7F"/>
    <w:multiLevelType w:val="hybridMultilevel"/>
    <w:tmpl w:val="85D604B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7D6631"/>
    <w:multiLevelType w:val="hybridMultilevel"/>
    <w:tmpl w:val="2F88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E5EA3"/>
    <w:multiLevelType w:val="hybridMultilevel"/>
    <w:tmpl w:val="B6D0ED1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110605"/>
    <w:multiLevelType w:val="hybridMultilevel"/>
    <w:tmpl w:val="1EA26E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48"/>
    <w:rsid w:val="0000559F"/>
    <w:rsid w:val="000064AF"/>
    <w:rsid w:val="00030D07"/>
    <w:rsid w:val="00040037"/>
    <w:rsid w:val="00044112"/>
    <w:rsid w:val="000548DA"/>
    <w:rsid w:val="0007185C"/>
    <w:rsid w:val="00087464"/>
    <w:rsid w:val="000E2563"/>
    <w:rsid w:val="0010425B"/>
    <w:rsid w:val="001732DE"/>
    <w:rsid w:val="0018581E"/>
    <w:rsid w:val="00192A00"/>
    <w:rsid w:val="001D66C3"/>
    <w:rsid w:val="001D6732"/>
    <w:rsid w:val="001E394B"/>
    <w:rsid w:val="002013D7"/>
    <w:rsid w:val="00206E36"/>
    <w:rsid w:val="00220880"/>
    <w:rsid w:val="0023307A"/>
    <w:rsid w:val="002360E8"/>
    <w:rsid w:val="0024794B"/>
    <w:rsid w:val="00252DAC"/>
    <w:rsid w:val="002632F1"/>
    <w:rsid w:val="00272326"/>
    <w:rsid w:val="002748BC"/>
    <w:rsid w:val="002807B2"/>
    <w:rsid w:val="00281CBB"/>
    <w:rsid w:val="00286E8C"/>
    <w:rsid w:val="002908AE"/>
    <w:rsid w:val="002B27AC"/>
    <w:rsid w:val="002B672C"/>
    <w:rsid w:val="002D732D"/>
    <w:rsid w:val="002E0576"/>
    <w:rsid w:val="002E33AD"/>
    <w:rsid w:val="002E3EDE"/>
    <w:rsid w:val="0030482C"/>
    <w:rsid w:val="00307B61"/>
    <w:rsid w:val="003271DE"/>
    <w:rsid w:val="0034765C"/>
    <w:rsid w:val="00360A2C"/>
    <w:rsid w:val="00360BCB"/>
    <w:rsid w:val="00374FC7"/>
    <w:rsid w:val="00392AAA"/>
    <w:rsid w:val="00393B85"/>
    <w:rsid w:val="003C4BF3"/>
    <w:rsid w:val="003E4436"/>
    <w:rsid w:val="003F75D5"/>
    <w:rsid w:val="00402B22"/>
    <w:rsid w:val="004167A0"/>
    <w:rsid w:val="004245E6"/>
    <w:rsid w:val="004302DB"/>
    <w:rsid w:val="004329E8"/>
    <w:rsid w:val="00440D29"/>
    <w:rsid w:val="00441FF6"/>
    <w:rsid w:val="00452F25"/>
    <w:rsid w:val="004732FC"/>
    <w:rsid w:val="00481841"/>
    <w:rsid w:val="00486BEF"/>
    <w:rsid w:val="004C6297"/>
    <w:rsid w:val="004D6A2C"/>
    <w:rsid w:val="004F1BAC"/>
    <w:rsid w:val="004F48F0"/>
    <w:rsid w:val="00534A59"/>
    <w:rsid w:val="00546C3D"/>
    <w:rsid w:val="00554C45"/>
    <w:rsid w:val="0055603B"/>
    <w:rsid w:val="00571848"/>
    <w:rsid w:val="005849E3"/>
    <w:rsid w:val="005969D9"/>
    <w:rsid w:val="005A28B2"/>
    <w:rsid w:val="005C1BD8"/>
    <w:rsid w:val="005E535D"/>
    <w:rsid w:val="0060413B"/>
    <w:rsid w:val="00611BE3"/>
    <w:rsid w:val="006222FF"/>
    <w:rsid w:val="00623286"/>
    <w:rsid w:val="00634276"/>
    <w:rsid w:val="006429E1"/>
    <w:rsid w:val="006430B6"/>
    <w:rsid w:val="0065683B"/>
    <w:rsid w:val="00672DFF"/>
    <w:rsid w:val="00673CB4"/>
    <w:rsid w:val="00680246"/>
    <w:rsid w:val="006A34C8"/>
    <w:rsid w:val="006D2DFC"/>
    <w:rsid w:val="006D756B"/>
    <w:rsid w:val="006E2D50"/>
    <w:rsid w:val="006E3E3C"/>
    <w:rsid w:val="006E4199"/>
    <w:rsid w:val="006F24EE"/>
    <w:rsid w:val="00721D66"/>
    <w:rsid w:val="00722D29"/>
    <w:rsid w:val="00731DAF"/>
    <w:rsid w:val="00742D66"/>
    <w:rsid w:val="00751F27"/>
    <w:rsid w:val="00763B8B"/>
    <w:rsid w:val="00770A20"/>
    <w:rsid w:val="007715AF"/>
    <w:rsid w:val="00772E7E"/>
    <w:rsid w:val="007732E3"/>
    <w:rsid w:val="0079236B"/>
    <w:rsid w:val="007C3691"/>
    <w:rsid w:val="007C6DEF"/>
    <w:rsid w:val="007D672E"/>
    <w:rsid w:val="007F15FE"/>
    <w:rsid w:val="007F7C5C"/>
    <w:rsid w:val="008024E1"/>
    <w:rsid w:val="00851B8B"/>
    <w:rsid w:val="00853D9D"/>
    <w:rsid w:val="008574F9"/>
    <w:rsid w:val="008838A8"/>
    <w:rsid w:val="008A4A42"/>
    <w:rsid w:val="008B27BA"/>
    <w:rsid w:val="008B73AA"/>
    <w:rsid w:val="008C6C5A"/>
    <w:rsid w:val="0091229B"/>
    <w:rsid w:val="00922474"/>
    <w:rsid w:val="00946B48"/>
    <w:rsid w:val="00950046"/>
    <w:rsid w:val="00993FAB"/>
    <w:rsid w:val="009B20F8"/>
    <w:rsid w:val="009C0A4D"/>
    <w:rsid w:val="009D1EF4"/>
    <w:rsid w:val="009D3B4B"/>
    <w:rsid w:val="009E2FEA"/>
    <w:rsid w:val="009F03F0"/>
    <w:rsid w:val="009F3549"/>
    <w:rsid w:val="009F751C"/>
    <w:rsid w:val="00A120BE"/>
    <w:rsid w:val="00A248DC"/>
    <w:rsid w:val="00A24FEF"/>
    <w:rsid w:val="00A33A47"/>
    <w:rsid w:val="00A65E5F"/>
    <w:rsid w:val="00A72687"/>
    <w:rsid w:val="00AA39B4"/>
    <w:rsid w:val="00AB4822"/>
    <w:rsid w:val="00AB5C9B"/>
    <w:rsid w:val="00AC0FFD"/>
    <w:rsid w:val="00AC3CD6"/>
    <w:rsid w:val="00AC4833"/>
    <w:rsid w:val="00AC610E"/>
    <w:rsid w:val="00AE3D8D"/>
    <w:rsid w:val="00AF1C87"/>
    <w:rsid w:val="00B05266"/>
    <w:rsid w:val="00B16E21"/>
    <w:rsid w:val="00B41579"/>
    <w:rsid w:val="00B6362B"/>
    <w:rsid w:val="00B63AAD"/>
    <w:rsid w:val="00B70A0A"/>
    <w:rsid w:val="00B75FE1"/>
    <w:rsid w:val="00B831D0"/>
    <w:rsid w:val="00BA7613"/>
    <w:rsid w:val="00BC24C2"/>
    <w:rsid w:val="00BC39BA"/>
    <w:rsid w:val="00BC6DC2"/>
    <w:rsid w:val="00BE144F"/>
    <w:rsid w:val="00C013D6"/>
    <w:rsid w:val="00C06100"/>
    <w:rsid w:val="00C16403"/>
    <w:rsid w:val="00C27CEA"/>
    <w:rsid w:val="00C34A69"/>
    <w:rsid w:val="00C73313"/>
    <w:rsid w:val="00CA7ED2"/>
    <w:rsid w:val="00CB3A6C"/>
    <w:rsid w:val="00CC2492"/>
    <w:rsid w:val="00CC61D2"/>
    <w:rsid w:val="00D0737C"/>
    <w:rsid w:val="00D14556"/>
    <w:rsid w:val="00D14B71"/>
    <w:rsid w:val="00D20D78"/>
    <w:rsid w:val="00D27A83"/>
    <w:rsid w:val="00D30FDF"/>
    <w:rsid w:val="00D60763"/>
    <w:rsid w:val="00D6248F"/>
    <w:rsid w:val="00D66BA6"/>
    <w:rsid w:val="00D66FDD"/>
    <w:rsid w:val="00D72420"/>
    <w:rsid w:val="00D730E2"/>
    <w:rsid w:val="00D821BF"/>
    <w:rsid w:val="00DB5EEE"/>
    <w:rsid w:val="00DB5FB7"/>
    <w:rsid w:val="00DE0B3A"/>
    <w:rsid w:val="00DF575F"/>
    <w:rsid w:val="00E03CCB"/>
    <w:rsid w:val="00E04F04"/>
    <w:rsid w:val="00E23604"/>
    <w:rsid w:val="00E407C4"/>
    <w:rsid w:val="00E67019"/>
    <w:rsid w:val="00E75F1F"/>
    <w:rsid w:val="00E87331"/>
    <w:rsid w:val="00E917C0"/>
    <w:rsid w:val="00E96F7A"/>
    <w:rsid w:val="00E97435"/>
    <w:rsid w:val="00EC7523"/>
    <w:rsid w:val="00ED01C6"/>
    <w:rsid w:val="00EE491D"/>
    <w:rsid w:val="00EF1376"/>
    <w:rsid w:val="00F105B6"/>
    <w:rsid w:val="00F32D74"/>
    <w:rsid w:val="00F51142"/>
    <w:rsid w:val="00F573BD"/>
    <w:rsid w:val="00F67E7B"/>
    <w:rsid w:val="00F7512C"/>
    <w:rsid w:val="00F83312"/>
    <w:rsid w:val="00F934D6"/>
    <w:rsid w:val="00F9539A"/>
    <w:rsid w:val="00FC2F0D"/>
    <w:rsid w:val="00FC730D"/>
    <w:rsid w:val="00FD187C"/>
    <w:rsid w:val="00FE1A28"/>
    <w:rsid w:val="00FE7C8F"/>
    <w:rsid w:val="00FF0D3E"/>
    <w:rsid w:val="00FF1C52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84C4572"/>
  <w15:docId w15:val="{BB7E6D9B-58DB-42E2-AE09-C63C40A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4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B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l-GR" w:eastAsia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F32D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D7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360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l-GR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360BCB"/>
  </w:style>
  <w:style w:type="character" w:styleId="PageNumber">
    <w:name w:val="page number"/>
    <w:basedOn w:val="DefaultParagraphFont"/>
    <w:uiPriority w:val="99"/>
    <w:semiHidden/>
    <w:unhideWhenUsed/>
    <w:rsid w:val="00360BCB"/>
  </w:style>
  <w:style w:type="paragraph" w:styleId="BalloonText">
    <w:name w:val="Balloon Text"/>
    <w:basedOn w:val="Normal"/>
    <w:link w:val="BalloonTextChar"/>
    <w:uiPriority w:val="99"/>
    <w:semiHidden/>
    <w:unhideWhenUsed/>
    <w:rsid w:val="002B2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2D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l-GR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252DAC"/>
  </w:style>
  <w:style w:type="paragraph" w:styleId="DocumentMap">
    <w:name w:val="Document Map"/>
    <w:basedOn w:val="Normal"/>
    <w:link w:val="DocumentMapChar"/>
    <w:uiPriority w:val="99"/>
    <w:semiHidden/>
    <w:unhideWhenUsed/>
    <w:rsid w:val="008B73AA"/>
    <w:rPr>
      <w:rFonts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73A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33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751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2360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B27BA"/>
    <w:rPr>
      <w:b/>
      <w:bCs/>
    </w:rPr>
  </w:style>
  <w:style w:type="paragraph" w:customStyle="1" w:styleId="Default">
    <w:name w:val="Default"/>
    <w:rsid w:val="002E33A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Arial">
    <w:name w:val="Arial"/>
    <w:basedOn w:val="Normal"/>
    <w:rsid w:val="00D66BA6"/>
    <w:rPr>
      <w:rFonts w:ascii="Arial" w:eastAsia="Times New Roman" w:hAnsi="Arial" w:cs="Arial"/>
      <w:b/>
      <w:bCs/>
      <w:lang w:val="de-DE"/>
    </w:rPr>
  </w:style>
  <w:style w:type="paragraph" w:customStyle="1" w:styleId="yiv7825403170xmsonormal">
    <w:name w:val="yiv7825403170x_msonormal"/>
    <w:basedOn w:val="Normal"/>
    <w:rsid w:val="00851B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l-GR" w:eastAsia="el-GR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Musterbrief_Growth_GR_leer_%20Transparent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231B4-85A6-2E41-AC10-C6DC4FE8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Musterbrief_Growth_GR_leer_ Transparent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Villy Kefala</dc:creator>
  <cp:lastModifiedBy>Elissavet Liouta</cp:lastModifiedBy>
  <cp:revision>6</cp:revision>
  <cp:lastPrinted>2021-11-11T08:34:00Z</cp:lastPrinted>
  <dcterms:created xsi:type="dcterms:W3CDTF">2021-11-12T07:26:00Z</dcterms:created>
  <dcterms:modified xsi:type="dcterms:W3CDTF">2021-11-18T07:03:00Z</dcterms:modified>
</cp:coreProperties>
</file>