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E" w:rsidRDefault="003755EF" w:rsidP="00D1218E">
      <w:pPr>
        <w:rPr>
          <w:shadow/>
        </w:rPr>
      </w:pPr>
      <w:r>
        <w:rPr>
          <w:noProof/>
        </w:rPr>
        <w:drawing>
          <wp:anchor distT="0" distB="0" distL="114300" distR="114300" simplePos="0" relativeHeight="251657728" behindDoc="0" locked="0" layoutInCell="1" allowOverlap="1">
            <wp:simplePos x="0" y="0"/>
            <wp:positionH relativeFrom="column">
              <wp:posOffset>2461895</wp:posOffset>
            </wp:positionH>
            <wp:positionV relativeFrom="paragraph">
              <wp:posOffset>-109855</wp:posOffset>
            </wp:positionV>
            <wp:extent cx="657225" cy="638175"/>
            <wp:effectExtent l="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657225" cy="638175"/>
                    </a:xfrm>
                    <a:prstGeom prst="rect">
                      <a:avLst/>
                    </a:prstGeom>
                    <a:noFill/>
                  </pic:spPr>
                </pic:pic>
              </a:graphicData>
            </a:graphic>
          </wp:anchor>
        </w:drawing>
      </w:r>
    </w:p>
    <w:p w:rsidR="00D1218E" w:rsidRDefault="00D1218E" w:rsidP="00D1218E">
      <w:pPr>
        <w:jc w:val="center"/>
        <w:outlineLvl w:val="0"/>
        <w:rPr>
          <w:b/>
          <w:sz w:val="28"/>
          <w:szCs w:val="28"/>
        </w:rPr>
      </w:pPr>
    </w:p>
    <w:p w:rsidR="00D1218E" w:rsidRDefault="00D1218E" w:rsidP="00D1218E">
      <w:pPr>
        <w:jc w:val="center"/>
        <w:outlineLvl w:val="0"/>
        <w:rPr>
          <w:b/>
          <w:sz w:val="28"/>
          <w:szCs w:val="28"/>
        </w:rPr>
      </w:pPr>
    </w:p>
    <w:p w:rsidR="002D01B7" w:rsidRPr="00142904" w:rsidRDefault="00EF422B" w:rsidP="00142904">
      <w:pPr>
        <w:jc w:val="center"/>
        <w:rPr>
          <w:b/>
          <w:bCs/>
          <w:sz w:val="28"/>
          <w:szCs w:val="28"/>
        </w:rPr>
      </w:pPr>
      <w:r w:rsidRPr="008823A6">
        <w:rPr>
          <w:b/>
          <w:bCs/>
          <w:sz w:val="28"/>
          <w:szCs w:val="28"/>
        </w:rPr>
        <w:t>ΕΛΛΗΝΙΚΗ ΔΗΜΟΚΡΑΤΙΑ</w:t>
      </w:r>
      <w:r w:rsidR="00142904">
        <w:rPr>
          <w:b/>
          <w:bCs/>
          <w:sz w:val="28"/>
          <w:szCs w:val="28"/>
        </w:rPr>
        <w:br/>
      </w:r>
      <w:r w:rsidRPr="008823A6">
        <w:rPr>
          <w:b/>
          <w:bCs/>
          <w:sz w:val="28"/>
          <w:szCs w:val="28"/>
        </w:rPr>
        <w:t>ΥΠΟΥΡΓΕΙΟ ΑΓΡΟΤΙΚΗΣ ΑΝΑΠΤΥΞΗΣ ΚΑΙ ΤΡΟΦΙΜΩΝ</w:t>
      </w:r>
      <w:r w:rsidR="00142904">
        <w:rPr>
          <w:b/>
          <w:bCs/>
          <w:sz w:val="28"/>
          <w:szCs w:val="28"/>
        </w:rPr>
        <w:br/>
      </w:r>
      <w:r w:rsidR="00807E5E">
        <w:rPr>
          <w:b/>
          <w:bCs/>
          <w:sz w:val="28"/>
          <w:szCs w:val="28"/>
        </w:rPr>
        <w:t>ΓΡΑΦΕΙΟ ΤΥΠΟΥ</w:t>
      </w:r>
    </w:p>
    <w:p w:rsidR="003253FB" w:rsidRPr="002D01B7" w:rsidRDefault="009419BA" w:rsidP="002D01B7">
      <w:pPr>
        <w:jc w:val="center"/>
        <w:rPr>
          <w:b/>
          <w:sz w:val="28"/>
          <w:szCs w:val="28"/>
        </w:rPr>
      </w:pPr>
      <w:r w:rsidRPr="008823A6">
        <w:rPr>
          <w:color w:val="000000"/>
          <w:sz w:val="28"/>
          <w:szCs w:val="28"/>
        </w:rPr>
        <w:t xml:space="preserve">                                                           </w:t>
      </w:r>
    </w:p>
    <w:p w:rsidR="003253FB" w:rsidRPr="00F2569B" w:rsidRDefault="009419BA" w:rsidP="00142904">
      <w:pPr>
        <w:spacing w:before="120" w:after="120" w:line="360" w:lineRule="auto"/>
        <w:jc w:val="right"/>
        <w:rPr>
          <w:b/>
          <w:color w:val="000000"/>
          <w:sz w:val="28"/>
          <w:szCs w:val="28"/>
        </w:rPr>
      </w:pPr>
      <w:r w:rsidRPr="008823A6">
        <w:rPr>
          <w:b/>
          <w:color w:val="000000"/>
          <w:sz w:val="28"/>
          <w:szCs w:val="28"/>
        </w:rPr>
        <w:t>Αθήνα</w:t>
      </w:r>
      <w:r w:rsidR="00403F57">
        <w:rPr>
          <w:b/>
          <w:color w:val="000000"/>
          <w:sz w:val="28"/>
          <w:szCs w:val="28"/>
        </w:rPr>
        <w:t>,</w:t>
      </w:r>
      <w:r w:rsidR="00403F57" w:rsidRPr="00941A02">
        <w:rPr>
          <w:b/>
          <w:color w:val="000000"/>
          <w:sz w:val="28"/>
          <w:szCs w:val="28"/>
        </w:rPr>
        <w:t xml:space="preserve"> </w:t>
      </w:r>
      <w:r w:rsidR="00C63250">
        <w:rPr>
          <w:b/>
          <w:color w:val="000000"/>
          <w:sz w:val="28"/>
          <w:szCs w:val="28"/>
          <w:lang w:val="en-US"/>
        </w:rPr>
        <w:t xml:space="preserve">7 </w:t>
      </w:r>
      <w:r w:rsidR="00AD6B10">
        <w:rPr>
          <w:b/>
          <w:color w:val="000000"/>
          <w:sz w:val="28"/>
          <w:szCs w:val="28"/>
        </w:rPr>
        <w:t>Μαΐου</w:t>
      </w:r>
      <w:r w:rsidR="00142904">
        <w:rPr>
          <w:b/>
          <w:color w:val="000000"/>
          <w:sz w:val="28"/>
          <w:szCs w:val="28"/>
        </w:rPr>
        <w:t xml:space="preserve"> </w:t>
      </w:r>
      <w:r w:rsidR="00241613">
        <w:rPr>
          <w:b/>
          <w:color w:val="000000"/>
          <w:sz w:val="28"/>
          <w:szCs w:val="28"/>
        </w:rPr>
        <w:t>2</w:t>
      </w:r>
      <w:r>
        <w:rPr>
          <w:b/>
          <w:color w:val="000000"/>
          <w:sz w:val="28"/>
          <w:szCs w:val="28"/>
        </w:rPr>
        <w:t>0</w:t>
      </w:r>
      <w:r w:rsidR="00EF72AE">
        <w:rPr>
          <w:b/>
          <w:color w:val="000000"/>
          <w:sz w:val="28"/>
          <w:szCs w:val="28"/>
        </w:rPr>
        <w:t>2</w:t>
      </w:r>
      <w:r w:rsidR="00EF72AE" w:rsidRPr="00941A02">
        <w:rPr>
          <w:b/>
          <w:color w:val="000000"/>
          <w:sz w:val="28"/>
          <w:szCs w:val="28"/>
        </w:rPr>
        <w:t>1</w:t>
      </w:r>
      <w:r w:rsidR="001D161A">
        <w:rPr>
          <w:b/>
          <w:color w:val="000000"/>
          <w:sz w:val="28"/>
          <w:szCs w:val="28"/>
        </w:rPr>
        <w:br/>
      </w:r>
    </w:p>
    <w:p w:rsidR="009419BA" w:rsidRPr="00941A02" w:rsidRDefault="009419BA" w:rsidP="009419BA">
      <w:pPr>
        <w:spacing w:before="120" w:after="120" w:line="360" w:lineRule="auto"/>
        <w:jc w:val="center"/>
        <w:rPr>
          <w:b/>
          <w:sz w:val="28"/>
          <w:szCs w:val="28"/>
          <w:u w:val="single"/>
        </w:rPr>
      </w:pPr>
      <w:r w:rsidRPr="00895304">
        <w:rPr>
          <w:b/>
          <w:sz w:val="28"/>
          <w:szCs w:val="28"/>
          <w:u w:val="single"/>
        </w:rPr>
        <w:t>ΔΕΛΤΙΟ ΤΥΠΟΥ</w:t>
      </w:r>
    </w:p>
    <w:p w:rsidR="00C63250" w:rsidRPr="00C63250" w:rsidRDefault="00C63250" w:rsidP="00C63250">
      <w:pPr>
        <w:jc w:val="both"/>
        <w:rPr>
          <w:sz w:val="22"/>
          <w:szCs w:val="22"/>
        </w:rPr>
      </w:pPr>
      <w:r w:rsidRPr="00C63250">
        <w:rPr>
          <w:color w:val="000000"/>
        </w:rPr>
        <w:t>Ο ΕΛΓΟ-ΔΗΜΗΤΡΑ ολοκλήρωσε τη διερεύνηση των στοιχείων που προέκυψαν από τους ελέγχους που διενήργησαν τα κλιμάκια του Οργανισμού για τη διακίνηση στην αγορά της Γερμανίας με την καταχωρισμένη ένδειξη «ΦΕΤΑ Π.Ο.Π.» από την επιχείρηση «ΟΜΗΡΟΣ ΒΙΟΜΗΧΑΝΙΑ ΓΑΛΑΚΤΟΣ ΑΕΒΕ».</w:t>
      </w:r>
    </w:p>
    <w:p w:rsidR="00C63250" w:rsidRPr="00C63250" w:rsidRDefault="00C63250" w:rsidP="00C63250">
      <w:pPr>
        <w:jc w:val="both"/>
        <w:rPr>
          <w:sz w:val="22"/>
          <w:szCs w:val="22"/>
        </w:rPr>
      </w:pPr>
      <w:r w:rsidRPr="00C63250">
        <w:rPr>
          <w:color w:val="000000"/>
        </w:rPr>
        <w:t> </w:t>
      </w:r>
    </w:p>
    <w:p w:rsidR="00C63250" w:rsidRPr="00C63250" w:rsidRDefault="00C63250" w:rsidP="00C63250">
      <w:pPr>
        <w:jc w:val="both"/>
        <w:rPr>
          <w:sz w:val="22"/>
          <w:szCs w:val="22"/>
        </w:rPr>
      </w:pPr>
      <w:r w:rsidRPr="00C63250">
        <w:rPr>
          <w:color w:val="000000"/>
        </w:rPr>
        <w:t>Οι έλεγχοι διεξήχθησαν με βάση τις προβλέψεις του υφιστάμενου θεσμικού πλαισίου για τα προϊόντα Προστατευόμενης Ονομασίας Προέλευσης (Π.Ο.Π.), καθώς και για τη νόμιμη χρήση  των ειδών γάλακτος στα διάφορα γαλακτοκομικά προϊόντα (Έλεγχος Ισοζυγίων Γάλακτος). </w:t>
      </w:r>
      <w:r w:rsidRPr="00C63250">
        <w:rPr>
          <w:b/>
          <w:bCs/>
          <w:color w:val="000000"/>
        </w:rPr>
        <w:t>Τα  ευρήματα των ελέγχων αφορούν σε προϊόν που δεν πληρούσε τις προδιαγραφές αναγνώρισης του, λόγω ανίχνευσης καζεϊνών αγελαδινού γάλακτος σε αυτό, απεστάλησαν στις αρμόδιες υπηρεσίες του Υπ.Α.Α.Τ με εισήγηση για την επιβολή διοικητικών κυρώσεων-προστίμων.</w:t>
      </w:r>
      <w:r w:rsidRPr="00C63250">
        <w:rPr>
          <w:color w:val="000000"/>
        </w:rPr>
        <w:t> </w:t>
      </w:r>
    </w:p>
    <w:p w:rsidR="00C63250" w:rsidRPr="00C63250" w:rsidRDefault="00C63250" w:rsidP="00C63250">
      <w:pPr>
        <w:jc w:val="both"/>
        <w:rPr>
          <w:sz w:val="22"/>
          <w:szCs w:val="22"/>
        </w:rPr>
      </w:pPr>
      <w:r w:rsidRPr="00C63250">
        <w:rPr>
          <w:color w:val="000000"/>
        </w:rPr>
        <w:t> </w:t>
      </w:r>
    </w:p>
    <w:p w:rsidR="00C63250" w:rsidRPr="00C63250" w:rsidRDefault="00C63250" w:rsidP="00C63250">
      <w:pPr>
        <w:jc w:val="both"/>
        <w:rPr>
          <w:sz w:val="22"/>
          <w:szCs w:val="22"/>
        </w:rPr>
      </w:pPr>
      <w:r w:rsidRPr="00C63250">
        <w:rPr>
          <w:color w:val="000000"/>
        </w:rPr>
        <w:t>Αναλυτικότερα:</w:t>
      </w:r>
    </w:p>
    <w:p w:rsidR="00C63250" w:rsidRPr="00C63250" w:rsidRDefault="00C63250" w:rsidP="00C63250">
      <w:pPr>
        <w:jc w:val="both"/>
        <w:rPr>
          <w:sz w:val="22"/>
          <w:szCs w:val="22"/>
        </w:rPr>
      </w:pPr>
      <w:r w:rsidRPr="00C63250">
        <w:rPr>
          <w:b/>
          <w:bCs/>
          <w:color w:val="000000"/>
        </w:rPr>
        <w:t>1.</w:t>
      </w:r>
      <w:r w:rsidRPr="00C63250">
        <w:rPr>
          <w:color w:val="000000"/>
        </w:rPr>
        <w:t>     Στη Διεύθυνση Αξιοποίησης και Τεχνολογίας Τροφίμων, για μη ακριβή τήρηση των Μηνιαίων Δηλώσεων  Ισοζυγίου Εισροών/Εκροών Γάλακτος,  επειδή εντοπίστηκαν λάθη στον κατάλογο των πρώτων υλών που διατηρούσε για την παρασκευή του αγελαδινού τυριού (ΚΥΑ 838/51008/2019).</w:t>
      </w:r>
    </w:p>
    <w:p w:rsidR="00C63250" w:rsidRPr="00C63250" w:rsidRDefault="00C63250" w:rsidP="00C63250">
      <w:pPr>
        <w:jc w:val="both"/>
        <w:rPr>
          <w:sz w:val="22"/>
          <w:szCs w:val="22"/>
        </w:rPr>
      </w:pPr>
      <w:r w:rsidRPr="00C63250">
        <w:rPr>
          <w:b/>
          <w:bCs/>
          <w:color w:val="000000"/>
        </w:rPr>
        <w:t>2.</w:t>
      </w:r>
      <w:r w:rsidRPr="00C63250">
        <w:rPr>
          <w:color w:val="000000"/>
        </w:rPr>
        <w:t>     Στην Πρωτοβάθμια Επιτροπή Εξέτασης Παρατυπιών και Παραβάσεων (ΚΥΑ 261611/2007, όπως τροποποιήθηκε και ισχύει), αφού διαπιστώθηκαν:</w:t>
      </w:r>
    </w:p>
    <w:p w:rsidR="00076149" w:rsidRDefault="00C63250" w:rsidP="00076149">
      <w:pPr>
        <w:ind w:firstLine="720"/>
        <w:jc w:val="both"/>
        <w:rPr>
          <w:color w:val="000000"/>
        </w:rPr>
      </w:pPr>
      <w:r w:rsidRPr="00C63250">
        <w:rPr>
          <w:b/>
          <w:bCs/>
          <w:color w:val="000000"/>
        </w:rPr>
        <w:t>Α.</w:t>
      </w:r>
      <w:r w:rsidRPr="00C63250">
        <w:rPr>
          <w:color w:val="000000"/>
        </w:rPr>
        <w:t xml:space="preserve"> Παραγωγή και διακίνηση προϊόντος συμβατικής «ΦΕΤΑΣ Π.Ο.Π.» (237.946 κιλά)</w:t>
      </w:r>
    </w:p>
    <w:p w:rsidR="00076149" w:rsidRDefault="00C63250" w:rsidP="00076149">
      <w:pPr>
        <w:ind w:firstLine="720"/>
        <w:jc w:val="both"/>
        <w:rPr>
          <w:color w:val="000000"/>
        </w:rPr>
      </w:pPr>
      <w:r w:rsidRPr="00C63250">
        <w:rPr>
          <w:color w:val="000000"/>
        </w:rPr>
        <w:t xml:space="preserve"> </w:t>
      </w:r>
      <w:r w:rsidR="00076149">
        <w:rPr>
          <w:color w:val="000000"/>
        </w:rPr>
        <w:t xml:space="preserve">    </w:t>
      </w:r>
      <w:r w:rsidRPr="00C63250">
        <w:rPr>
          <w:color w:val="000000"/>
        </w:rPr>
        <w:t xml:space="preserve">και βιολογικής «ΦΕΤΑΣ Π.Ο.Π.» (184.147 κιλά) στα οποία είχε γίνει  χρήση </w:t>
      </w:r>
    </w:p>
    <w:p w:rsidR="00C63250" w:rsidRPr="00C63250" w:rsidRDefault="00076149" w:rsidP="00076149">
      <w:pPr>
        <w:ind w:firstLine="720"/>
        <w:jc w:val="both"/>
        <w:rPr>
          <w:sz w:val="22"/>
          <w:szCs w:val="22"/>
        </w:rPr>
      </w:pPr>
      <w:r>
        <w:rPr>
          <w:color w:val="000000"/>
        </w:rPr>
        <w:t xml:space="preserve">     </w:t>
      </w:r>
      <w:r w:rsidR="00C63250" w:rsidRPr="00C63250">
        <w:rPr>
          <w:color w:val="000000"/>
        </w:rPr>
        <w:t>αγελαδινού γάλακτος.</w:t>
      </w:r>
    </w:p>
    <w:p w:rsidR="00076149" w:rsidRDefault="00C63250" w:rsidP="00076149">
      <w:pPr>
        <w:ind w:firstLine="720"/>
        <w:jc w:val="both"/>
        <w:rPr>
          <w:color w:val="000000"/>
        </w:rPr>
      </w:pPr>
      <w:r w:rsidRPr="00C63250">
        <w:rPr>
          <w:b/>
          <w:bCs/>
          <w:color w:val="000000"/>
        </w:rPr>
        <w:t>Β.</w:t>
      </w:r>
      <w:r w:rsidRPr="00C63250">
        <w:rPr>
          <w:color w:val="000000"/>
        </w:rPr>
        <w:t xml:space="preserve"> Ενώ η επιχείρηση τελούσε σε καθεστώς προσωρινής ανάκλησης πιστοποίησης</w:t>
      </w:r>
    </w:p>
    <w:p w:rsidR="00076149" w:rsidRDefault="00C63250" w:rsidP="00076149">
      <w:pPr>
        <w:ind w:firstLine="720"/>
        <w:jc w:val="both"/>
        <w:rPr>
          <w:color w:val="000000"/>
        </w:rPr>
      </w:pPr>
      <w:r w:rsidRPr="00C63250">
        <w:rPr>
          <w:color w:val="000000"/>
        </w:rPr>
        <w:t xml:space="preserve"> </w:t>
      </w:r>
      <w:r w:rsidR="00076149">
        <w:rPr>
          <w:color w:val="000000"/>
        </w:rPr>
        <w:t xml:space="preserve">    </w:t>
      </w:r>
      <w:r w:rsidRPr="00C63250">
        <w:rPr>
          <w:color w:val="000000"/>
        </w:rPr>
        <w:t>(από 24.03.2021) διακίνησε προϊόν με την  ένδειξη «ΦΕΤΑ Π.Ο.Π.» και</w:t>
      </w:r>
    </w:p>
    <w:p w:rsidR="00C63250" w:rsidRPr="00076149" w:rsidRDefault="00C63250" w:rsidP="00076149">
      <w:pPr>
        <w:ind w:firstLine="720"/>
        <w:jc w:val="both"/>
        <w:rPr>
          <w:color w:val="000000"/>
        </w:rPr>
      </w:pPr>
      <w:r w:rsidRPr="00C63250">
        <w:rPr>
          <w:color w:val="000000"/>
        </w:rPr>
        <w:t xml:space="preserve"> </w:t>
      </w:r>
      <w:r w:rsidR="00076149">
        <w:rPr>
          <w:color w:val="000000"/>
        </w:rPr>
        <w:t xml:space="preserve">    </w:t>
      </w:r>
      <w:r w:rsidR="0095726C">
        <w:rPr>
          <w:color w:val="000000"/>
        </w:rPr>
        <w:t>τ</w:t>
      </w:r>
      <w:r w:rsidRPr="00C63250">
        <w:rPr>
          <w:color w:val="000000"/>
        </w:rPr>
        <w:t>αυτόχρονα</w:t>
      </w:r>
      <w:r w:rsidR="00076149">
        <w:rPr>
          <w:color w:val="000000"/>
        </w:rPr>
        <w:t xml:space="preserve"> </w:t>
      </w:r>
      <w:r w:rsidRPr="00C63250">
        <w:rPr>
          <w:color w:val="000000"/>
        </w:rPr>
        <w:t>συνέχισε να το διαφημίζει στην ιστοσελίδα της.</w:t>
      </w:r>
    </w:p>
    <w:p w:rsidR="00C63250" w:rsidRPr="00C63250" w:rsidRDefault="00C63250" w:rsidP="00C63250">
      <w:pPr>
        <w:jc w:val="both"/>
        <w:rPr>
          <w:sz w:val="22"/>
          <w:szCs w:val="22"/>
        </w:rPr>
      </w:pPr>
      <w:r w:rsidRPr="00C63250">
        <w:rPr>
          <w:color w:val="000000"/>
        </w:rPr>
        <w:t>Με δεδομένο ότι η Επιχείρηση προέβη σε όλες τις υποδειχθείσες διορθωτικές ενέργειες, σε συνδυασμό με το γεγονός ότι δεν ήταν υπότροπος, με βάση τα άρθρα 12 &amp; 13 της Κ.Υ.Α. 261611/2007, ο Οργανισμός προχωρά στην άρση της προσωρινής ανάκλησης της πιστοποίησης, σε ό,τι αφορά στην παραγωγή, συσκευασία και εμπορία του προϊόντος «ΦΕΤΑ Π.Ο.Π., με την προϋπόθεση της διενέργειας συνεχών αιφνιδιαστικών ελέγχων στην επιχείρηση, σε τακτικά χρονικά διαστήματα, ώστε να διαπιστωθεί η συνέχιση της τήρησης των δεσμεύσεών της. </w:t>
      </w:r>
    </w:p>
    <w:p w:rsidR="00C63250" w:rsidRPr="00C63250" w:rsidRDefault="00C63250" w:rsidP="00C63250">
      <w:pPr>
        <w:spacing w:after="120"/>
        <w:jc w:val="both"/>
        <w:rPr>
          <w:sz w:val="22"/>
          <w:szCs w:val="22"/>
        </w:rPr>
      </w:pPr>
      <w:r w:rsidRPr="00C63250">
        <w:rPr>
          <w:color w:val="000000"/>
        </w:rPr>
        <w:t>Επισημαίνεται ότι οι έλεγχοι θα συνεχιστούν αφού αναμένονται οι υπολειπόμενες ανακληθείσες ποσότητες από τη Γερμανία του μη σύννομου προϊόντος ενώ  εκκρεμούν αποτελέσματα της διερεύνησης της Οικονομικής Αστυνομίας</w:t>
      </w:r>
    </w:p>
    <w:p w:rsidR="00C63250" w:rsidRPr="00C63250" w:rsidRDefault="00C63250" w:rsidP="00C63250">
      <w:pPr>
        <w:spacing w:after="200"/>
        <w:jc w:val="both"/>
        <w:rPr>
          <w:sz w:val="22"/>
          <w:szCs w:val="22"/>
        </w:rPr>
      </w:pPr>
      <w:r w:rsidRPr="00C63250">
        <w:rPr>
          <w:color w:val="000000"/>
        </w:rPr>
        <w:lastRenderedPageBreak/>
        <w:t>Τις προσεχείς ημέρες αναμένεται να επιληφθούν του ζητήματος τα αρμόδια όργανα του ΥΠΑΑΤ, τα οποία με βάση το πόρισμα, θα εφαρμόσουν στο ακέραιο την ισχύουσα νομοθεσία.</w:t>
      </w:r>
    </w:p>
    <w:p w:rsidR="00C63250" w:rsidRPr="00C63250" w:rsidRDefault="00C63250" w:rsidP="00C63250">
      <w:pPr>
        <w:spacing w:after="200"/>
        <w:jc w:val="both"/>
        <w:rPr>
          <w:sz w:val="22"/>
          <w:szCs w:val="22"/>
        </w:rPr>
      </w:pPr>
      <w:r w:rsidRPr="00C63250">
        <w:rPr>
          <w:color w:val="000000"/>
        </w:rPr>
        <w:t xml:space="preserve">Υπενθυμίζεται ότι ο ΥΠΑΑΤ κ. </w:t>
      </w:r>
      <w:r w:rsidRPr="00C63250">
        <w:rPr>
          <w:b/>
          <w:bCs/>
          <w:color w:val="000000"/>
        </w:rPr>
        <w:t>Σπήλιος Λιβανός</w:t>
      </w:r>
      <w:r w:rsidRPr="00C63250">
        <w:rPr>
          <w:color w:val="000000"/>
        </w:rPr>
        <w:t xml:space="preserve"> με δηλώσεις του έχει δεσμευθεί για την προστασία των προϊόντων ΠΟΠ, όπως η φέτα και γενικότερα των ελληνικών προϊόντων, πρόθεση η οποία κατέστη σαφής και από τους πολλαπλούς ελέγχους που διεξήχθησαν κατά την πασχαλινή περίοδο στην ελληνική αγορά.</w:t>
      </w:r>
    </w:p>
    <w:p w:rsidR="00C63250" w:rsidRPr="00C63250" w:rsidRDefault="00C63250" w:rsidP="00C63250">
      <w:pPr>
        <w:spacing w:after="200"/>
        <w:jc w:val="both"/>
        <w:rPr>
          <w:sz w:val="22"/>
          <w:szCs w:val="22"/>
        </w:rPr>
      </w:pPr>
      <w:r w:rsidRPr="00C63250">
        <w:rPr>
          <w:color w:val="000000"/>
        </w:rPr>
        <w:t xml:space="preserve">Εκπεφρασμένη πρόθεση του κ. Λιβανού είναι επίσης </w:t>
      </w:r>
      <w:r w:rsidRPr="00C63250">
        <w:rPr>
          <w:b/>
          <w:bCs/>
          <w:color w:val="000000"/>
        </w:rPr>
        <w:t>η δημιουργία ενός πλαισίου αποτελεσματικότερου και αρτιότερου, το οποίο θα διασφαλίζει την δημόσια υγεία και θα προστατεύει τα ελληνικά προϊόντα, αλλά και τους καταναλωτές, δρομολογώντας και τις σχετικές αλλαγές στην οικεία νομοθεσία.</w:t>
      </w:r>
      <w:r w:rsidRPr="00C63250">
        <w:rPr>
          <w:color w:val="000000"/>
        </w:rPr>
        <w:t> </w:t>
      </w:r>
    </w:p>
    <w:p w:rsidR="00EF1C42" w:rsidRDefault="00EF1C42" w:rsidP="004E3A40">
      <w:pPr>
        <w:spacing w:after="160" w:line="254" w:lineRule="auto"/>
        <w:jc w:val="both"/>
        <w:rPr>
          <w:bCs/>
        </w:rPr>
      </w:pPr>
    </w:p>
    <w:p w:rsidR="00A00163" w:rsidRDefault="00A00163" w:rsidP="00A00163">
      <w:pPr>
        <w:spacing w:after="200" w:line="276" w:lineRule="auto"/>
        <w:rPr>
          <w:rFonts w:ascii="Calibri" w:hAnsi="Calibri" w:cs="Calibri"/>
          <w:sz w:val="22"/>
          <w:szCs w:val="22"/>
        </w:rPr>
      </w:pPr>
      <w:r>
        <w:rPr>
          <w:rFonts w:ascii="Calibri" w:hAnsi="Calibri" w:cs="Calibri"/>
          <w:b/>
          <w:bCs/>
          <w:sz w:val="32"/>
          <w:szCs w:val="32"/>
          <w:lang w:val="en-US"/>
        </w:rPr>
        <w:t> </w:t>
      </w:r>
    </w:p>
    <w:p w:rsidR="004E3A40" w:rsidRPr="00A00163" w:rsidRDefault="004E3A40" w:rsidP="00A00163">
      <w:pPr>
        <w:spacing w:after="160" w:line="254" w:lineRule="auto"/>
        <w:jc w:val="both"/>
        <w:rPr>
          <w:bCs/>
          <w:sz w:val="28"/>
          <w:szCs w:val="28"/>
        </w:rPr>
      </w:pPr>
    </w:p>
    <w:sectPr w:rsidR="004E3A40" w:rsidRPr="00A00163" w:rsidSect="001D161A">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964" w:rsidRDefault="00E54964">
      <w:r>
        <w:separator/>
      </w:r>
    </w:p>
  </w:endnote>
  <w:endnote w:type="continuationSeparator" w:id="1">
    <w:p w:rsidR="00E54964" w:rsidRDefault="00E549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D3" w:rsidRDefault="00576016" w:rsidP="00782C91">
    <w:pPr>
      <w:pStyle w:val="a3"/>
      <w:framePr w:wrap="around" w:vAnchor="text" w:hAnchor="margin" w:xAlign="right" w:y="1"/>
      <w:rPr>
        <w:rStyle w:val="a4"/>
      </w:rPr>
    </w:pPr>
    <w:r>
      <w:rPr>
        <w:rStyle w:val="a4"/>
      </w:rPr>
      <w:fldChar w:fldCharType="begin"/>
    </w:r>
    <w:r w:rsidR="00F704D3">
      <w:rPr>
        <w:rStyle w:val="a4"/>
      </w:rPr>
      <w:instrText xml:space="preserve">PAGE  </w:instrText>
    </w:r>
    <w:r>
      <w:rPr>
        <w:rStyle w:val="a4"/>
      </w:rPr>
      <w:fldChar w:fldCharType="end"/>
    </w:r>
  </w:p>
  <w:p w:rsidR="00F704D3" w:rsidRDefault="00F704D3" w:rsidP="004D57E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26282"/>
      <w:docPartObj>
        <w:docPartGallery w:val="Page Numbers (Bottom of Page)"/>
        <w:docPartUnique/>
      </w:docPartObj>
    </w:sdtPr>
    <w:sdtContent>
      <w:p w:rsidR="0095726C" w:rsidRDefault="0095726C">
        <w:pPr>
          <w:pStyle w:val="a3"/>
          <w:jc w:val="right"/>
        </w:pPr>
        <w:fldSimple w:instr=" PAGE   \* MERGEFORMAT ">
          <w:r>
            <w:rPr>
              <w:noProof/>
            </w:rPr>
            <w:t>1</w:t>
          </w:r>
        </w:fldSimple>
      </w:p>
    </w:sdtContent>
  </w:sdt>
  <w:p w:rsidR="00F704D3" w:rsidRPr="007915E7" w:rsidRDefault="00F704D3" w:rsidP="00D21B9D">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964" w:rsidRDefault="00E54964">
      <w:r>
        <w:separator/>
      </w:r>
    </w:p>
  </w:footnote>
  <w:footnote w:type="continuationSeparator" w:id="1">
    <w:p w:rsidR="00E54964" w:rsidRDefault="00E54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6DB0"/>
    <w:multiLevelType w:val="hybridMultilevel"/>
    <w:tmpl w:val="B2C81A0A"/>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3AA631D7"/>
    <w:multiLevelType w:val="hybridMultilevel"/>
    <w:tmpl w:val="60229612"/>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3CB11220"/>
    <w:multiLevelType w:val="hybridMultilevel"/>
    <w:tmpl w:val="2A4AA8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75A75143"/>
    <w:multiLevelType w:val="hybridMultilevel"/>
    <w:tmpl w:val="7D7EADD4"/>
    <w:lvl w:ilvl="0" w:tplc="36C0CB4A">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4">
    <w:nsid w:val="769B6E6E"/>
    <w:multiLevelType w:val="hybridMultilevel"/>
    <w:tmpl w:val="7CCAB89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5">
    <w:nsid w:val="771816FB"/>
    <w:multiLevelType w:val="hybridMultilevel"/>
    <w:tmpl w:val="C8586E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79B42EA5"/>
    <w:multiLevelType w:val="hybridMultilevel"/>
    <w:tmpl w:val="5220EF8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218E"/>
    <w:rsid w:val="0000755F"/>
    <w:rsid w:val="00076149"/>
    <w:rsid w:val="00076308"/>
    <w:rsid w:val="00084458"/>
    <w:rsid w:val="00087F0C"/>
    <w:rsid w:val="00091B2B"/>
    <w:rsid w:val="0009605F"/>
    <w:rsid w:val="000A106A"/>
    <w:rsid w:val="000D2916"/>
    <w:rsid w:val="000D5A02"/>
    <w:rsid w:val="000E012C"/>
    <w:rsid w:val="000F78E9"/>
    <w:rsid w:val="00105E80"/>
    <w:rsid w:val="00106A28"/>
    <w:rsid w:val="00121AC8"/>
    <w:rsid w:val="00124E9E"/>
    <w:rsid w:val="00135C99"/>
    <w:rsid w:val="00142904"/>
    <w:rsid w:val="00143343"/>
    <w:rsid w:val="00145749"/>
    <w:rsid w:val="00147810"/>
    <w:rsid w:val="00184450"/>
    <w:rsid w:val="00184713"/>
    <w:rsid w:val="00186382"/>
    <w:rsid w:val="00195A91"/>
    <w:rsid w:val="001B3178"/>
    <w:rsid w:val="001D161A"/>
    <w:rsid w:val="001D6E09"/>
    <w:rsid w:val="0020766E"/>
    <w:rsid w:val="00220575"/>
    <w:rsid w:val="00241613"/>
    <w:rsid w:val="002510C5"/>
    <w:rsid w:val="00256BA4"/>
    <w:rsid w:val="00267E02"/>
    <w:rsid w:val="002A338A"/>
    <w:rsid w:val="002D01B7"/>
    <w:rsid w:val="002D7B6E"/>
    <w:rsid w:val="002E4CFF"/>
    <w:rsid w:val="002E721B"/>
    <w:rsid w:val="002F4C0F"/>
    <w:rsid w:val="003031E8"/>
    <w:rsid w:val="003253FB"/>
    <w:rsid w:val="0035076E"/>
    <w:rsid w:val="00363B0C"/>
    <w:rsid w:val="0036646F"/>
    <w:rsid w:val="00374117"/>
    <w:rsid w:val="003755EF"/>
    <w:rsid w:val="003924AB"/>
    <w:rsid w:val="00396D3C"/>
    <w:rsid w:val="003A52B2"/>
    <w:rsid w:val="003A7E62"/>
    <w:rsid w:val="003B4405"/>
    <w:rsid w:val="003B7129"/>
    <w:rsid w:val="003C7D45"/>
    <w:rsid w:val="003D32EE"/>
    <w:rsid w:val="003D6F42"/>
    <w:rsid w:val="003F5339"/>
    <w:rsid w:val="00403F57"/>
    <w:rsid w:val="0040656A"/>
    <w:rsid w:val="00421D20"/>
    <w:rsid w:val="00431A64"/>
    <w:rsid w:val="00446508"/>
    <w:rsid w:val="00457CAD"/>
    <w:rsid w:val="0047142E"/>
    <w:rsid w:val="00480549"/>
    <w:rsid w:val="004815A0"/>
    <w:rsid w:val="004A0493"/>
    <w:rsid w:val="004A2243"/>
    <w:rsid w:val="004A7042"/>
    <w:rsid w:val="004B5314"/>
    <w:rsid w:val="004B54B5"/>
    <w:rsid w:val="004C4D1E"/>
    <w:rsid w:val="004C5F27"/>
    <w:rsid w:val="004D24BA"/>
    <w:rsid w:val="004D57E4"/>
    <w:rsid w:val="004E06AF"/>
    <w:rsid w:val="004E3A40"/>
    <w:rsid w:val="004E4209"/>
    <w:rsid w:val="004E43C3"/>
    <w:rsid w:val="004E563E"/>
    <w:rsid w:val="004F288E"/>
    <w:rsid w:val="004F3391"/>
    <w:rsid w:val="004F4A4C"/>
    <w:rsid w:val="004F679E"/>
    <w:rsid w:val="0050513D"/>
    <w:rsid w:val="00505867"/>
    <w:rsid w:val="00506EE1"/>
    <w:rsid w:val="00514B5D"/>
    <w:rsid w:val="0053642B"/>
    <w:rsid w:val="00547482"/>
    <w:rsid w:val="00547748"/>
    <w:rsid w:val="00551B20"/>
    <w:rsid w:val="00562A2E"/>
    <w:rsid w:val="00570995"/>
    <w:rsid w:val="0057521D"/>
    <w:rsid w:val="00575B07"/>
    <w:rsid w:val="00576016"/>
    <w:rsid w:val="00591768"/>
    <w:rsid w:val="00593CFD"/>
    <w:rsid w:val="005965E6"/>
    <w:rsid w:val="005A5345"/>
    <w:rsid w:val="005A6AE8"/>
    <w:rsid w:val="005C557A"/>
    <w:rsid w:val="005C6DD3"/>
    <w:rsid w:val="005E0053"/>
    <w:rsid w:val="005E0103"/>
    <w:rsid w:val="005E3E48"/>
    <w:rsid w:val="005F47B3"/>
    <w:rsid w:val="00605763"/>
    <w:rsid w:val="00626319"/>
    <w:rsid w:val="0064383E"/>
    <w:rsid w:val="00656E5E"/>
    <w:rsid w:val="00680A3F"/>
    <w:rsid w:val="006969B7"/>
    <w:rsid w:val="006A29F9"/>
    <w:rsid w:val="006B2E65"/>
    <w:rsid w:val="006B4412"/>
    <w:rsid w:val="006D0529"/>
    <w:rsid w:val="006D57D3"/>
    <w:rsid w:val="006F3A4F"/>
    <w:rsid w:val="00701903"/>
    <w:rsid w:val="0070490C"/>
    <w:rsid w:val="00716DAC"/>
    <w:rsid w:val="0072524D"/>
    <w:rsid w:val="00737270"/>
    <w:rsid w:val="00741D36"/>
    <w:rsid w:val="00751832"/>
    <w:rsid w:val="00757503"/>
    <w:rsid w:val="00780A0A"/>
    <w:rsid w:val="00782C91"/>
    <w:rsid w:val="007870C2"/>
    <w:rsid w:val="007915E7"/>
    <w:rsid w:val="007938B0"/>
    <w:rsid w:val="007A2188"/>
    <w:rsid w:val="007A3235"/>
    <w:rsid w:val="007E13E2"/>
    <w:rsid w:val="007E2252"/>
    <w:rsid w:val="007E42C9"/>
    <w:rsid w:val="007E7B35"/>
    <w:rsid w:val="00807E5E"/>
    <w:rsid w:val="00822A84"/>
    <w:rsid w:val="008256E8"/>
    <w:rsid w:val="00843AEB"/>
    <w:rsid w:val="00845ABD"/>
    <w:rsid w:val="008544D8"/>
    <w:rsid w:val="008576B4"/>
    <w:rsid w:val="008659EC"/>
    <w:rsid w:val="00866B8E"/>
    <w:rsid w:val="00867E3D"/>
    <w:rsid w:val="0087390F"/>
    <w:rsid w:val="00895304"/>
    <w:rsid w:val="00896D8D"/>
    <w:rsid w:val="008B45F7"/>
    <w:rsid w:val="008C6DF8"/>
    <w:rsid w:val="008E36F8"/>
    <w:rsid w:val="008E4605"/>
    <w:rsid w:val="00900F6B"/>
    <w:rsid w:val="00903B31"/>
    <w:rsid w:val="0090569A"/>
    <w:rsid w:val="0092776E"/>
    <w:rsid w:val="00930E31"/>
    <w:rsid w:val="00934FE8"/>
    <w:rsid w:val="009419BA"/>
    <w:rsid w:val="00941A02"/>
    <w:rsid w:val="009430E3"/>
    <w:rsid w:val="009542CC"/>
    <w:rsid w:val="0095726C"/>
    <w:rsid w:val="009648BB"/>
    <w:rsid w:val="0096748D"/>
    <w:rsid w:val="00972D34"/>
    <w:rsid w:val="00976D92"/>
    <w:rsid w:val="009802E4"/>
    <w:rsid w:val="00992AAF"/>
    <w:rsid w:val="009A4AF5"/>
    <w:rsid w:val="009A687B"/>
    <w:rsid w:val="009A6F71"/>
    <w:rsid w:val="009B073F"/>
    <w:rsid w:val="009B70E1"/>
    <w:rsid w:val="009C0799"/>
    <w:rsid w:val="009D44A6"/>
    <w:rsid w:val="009D64A3"/>
    <w:rsid w:val="009E3886"/>
    <w:rsid w:val="00A00163"/>
    <w:rsid w:val="00A0729B"/>
    <w:rsid w:val="00A15CD3"/>
    <w:rsid w:val="00A31117"/>
    <w:rsid w:val="00A34302"/>
    <w:rsid w:val="00A667BD"/>
    <w:rsid w:val="00A751FF"/>
    <w:rsid w:val="00A8637A"/>
    <w:rsid w:val="00AA1AAC"/>
    <w:rsid w:val="00AA5044"/>
    <w:rsid w:val="00AD6B10"/>
    <w:rsid w:val="00AE21A8"/>
    <w:rsid w:val="00AF3128"/>
    <w:rsid w:val="00B039B5"/>
    <w:rsid w:val="00B13979"/>
    <w:rsid w:val="00B179B9"/>
    <w:rsid w:val="00B20262"/>
    <w:rsid w:val="00B67932"/>
    <w:rsid w:val="00B91C46"/>
    <w:rsid w:val="00BA08EC"/>
    <w:rsid w:val="00BA7278"/>
    <w:rsid w:val="00BC4EA4"/>
    <w:rsid w:val="00BD6DC5"/>
    <w:rsid w:val="00BE0D42"/>
    <w:rsid w:val="00C134A8"/>
    <w:rsid w:val="00C27FDD"/>
    <w:rsid w:val="00C44525"/>
    <w:rsid w:val="00C5627C"/>
    <w:rsid w:val="00C63250"/>
    <w:rsid w:val="00C66988"/>
    <w:rsid w:val="00C67C3C"/>
    <w:rsid w:val="00C817AC"/>
    <w:rsid w:val="00C83A20"/>
    <w:rsid w:val="00C87C49"/>
    <w:rsid w:val="00C97A98"/>
    <w:rsid w:val="00CA586F"/>
    <w:rsid w:val="00CE4217"/>
    <w:rsid w:val="00D1218E"/>
    <w:rsid w:val="00D162E9"/>
    <w:rsid w:val="00D21B9D"/>
    <w:rsid w:val="00D24737"/>
    <w:rsid w:val="00D30361"/>
    <w:rsid w:val="00D4686D"/>
    <w:rsid w:val="00D47076"/>
    <w:rsid w:val="00D50DD9"/>
    <w:rsid w:val="00D65015"/>
    <w:rsid w:val="00D85F83"/>
    <w:rsid w:val="00D8638F"/>
    <w:rsid w:val="00D9572C"/>
    <w:rsid w:val="00DA56FE"/>
    <w:rsid w:val="00DC1DB7"/>
    <w:rsid w:val="00DC3B51"/>
    <w:rsid w:val="00DC78A7"/>
    <w:rsid w:val="00DD3E95"/>
    <w:rsid w:val="00DD6CE0"/>
    <w:rsid w:val="00DE1213"/>
    <w:rsid w:val="00DE4A1A"/>
    <w:rsid w:val="00DE5CAE"/>
    <w:rsid w:val="00E07AFB"/>
    <w:rsid w:val="00E132DB"/>
    <w:rsid w:val="00E135C5"/>
    <w:rsid w:val="00E213B6"/>
    <w:rsid w:val="00E268DB"/>
    <w:rsid w:val="00E353B0"/>
    <w:rsid w:val="00E40FD9"/>
    <w:rsid w:val="00E43E63"/>
    <w:rsid w:val="00E54964"/>
    <w:rsid w:val="00E569C9"/>
    <w:rsid w:val="00E57328"/>
    <w:rsid w:val="00E65E31"/>
    <w:rsid w:val="00E747E5"/>
    <w:rsid w:val="00EA77A2"/>
    <w:rsid w:val="00EB5AD2"/>
    <w:rsid w:val="00EE3CF1"/>
    <w:rsid w:val="00EE7486"/>
    <w:rsid w:val="00EF1C42"/>
    <w:rsid w:val="00EF422B"/>
    <w:rsid w:val="00EF72AE"/>
    <w:rsid w:val="00F06976"/>
    <w:rsid w:val="00F07311"/>
    <w:rsid w:val="00F143A5"/>
    <w:rsid w:val="00F21608"/>
    <w:rsid w:val="00F255C7"/>
    <w:rsid w:val="00F2569B"/>
    <w:rsid w:val="00F4119F"/>
    <w:rsid w:val="00F54FF7"/>
    <w:rsid w:val="00F704D3"/>
    <w:rsid w:val="00FA75A0"/>
    <w:rsid w:val="00FA7919"/>
    <w:rsid w:val="00FD060C"/>
    <w:rsid w:val="00FD35F4"/>
    <w:rsid w:val="00FE40DF"/>
    <w:rsid w:val="00FE7426"/>
    <w:rsid w:val="00FF66CC"/>
    <w:rsid w:val="00FF78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18E"/>
    <w:rPr>
      <w:sz w:val="24"/>
      <w:szCs w:val="24"/>
    </w:rPr>
  </w:style>
  <w:style w:type="paragraph" w:styleId="1">
    <w:name w:val="heading 1"/>
    <w:basedOn w:val="a"/>
    <w:next w:val="a"/>
    <w:link w:val="1Char"/>
    <w:qFormat/>
    <w:rsid w:val="00B67932"/>
    <w:pPr>
      <w:keepNext/>
      <w:ind w:left="2160"/>
      <w:outlineLvl w:val="0"/>
    </w:pPr>
    <w:rPr>
      <w:rFonts w:eastAsia="Calibri"/>
      <w:b/>
      <w:bCs/>
      <w:sz w:val="32"/>
      <w:szCs w:val="32"/>
    </w:rPr>
  </w:style>
  <w:style w:type="paragraph" w:styleId="3">
    <w:name w:val="heading 3"/>
    <w:basedOn w:val="a"/>
    <w:next w:val="a"/>
    <w:qFormat/>
    <w:rsid w:val="00AE21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57E4"/>
    <w:pPr>
      <w:tabs>
        <w:tab w:val="center" w:pos="4153"/>
        <w:tab w:val="right" w:pos="8306"/>
      </w:tabs>
    </w:pPr>
  </w:style>
  <w:style w:type="character" w:styleId="a4">
    <w:name w:val="page number"/>
    <w:basedOn w:val="a0"/>
    <w:rsid w:val="004D57E4"/>
  </w:style>
  <w:style w:type="paragraph" w:styleId="a5">
    <w:name w:val="header"/>
    <w:basedOn w:val="a"/>
    <w:link w:val="Char0"/>
    <w:uiPriority w:val="99"/>
    <w:rsid w:val="00457CAD"/>
    <w:pPr>
      <w:tabs>
        <w:tab w:val="center" w:pos="4153"/>
        <w:tab w:val="right" w:pos="8306"/>
      </w:tabs>
    </w:pPr>
  </w:style>
  <w:style w:type="character" w:customStyle="1" w:styleId="1Char">
    <w:name w:val="Επικεφαλίδα 1 Char"/>
    <w:basedOn w:val="a0"/>
    <w:link w:val="1"/>
    <w:locked/>
    <w:rsid w:val="00B67932"/>
    <w:rPr>
      <w:rFonts w:eastAsia="Calibri"/>
      <w:b/>
      <w:bCs/>
      <w:sz w:val="32"/>
      <w:szCs w:val="32"/>
      <w:lang w:val="el-GR" w:eastAsia="el-GR" w:bidi="ar-SA"/>
    </w:rPr>
  </w:style>
  <w:style w:type="paragraph" w:styleId="Web">
    <w:name w:val="Normal (Web)"/>
    <w:basedOn w:val="a"/>
    <w:uiPriority w:val="99"/>
    <w:rsid w:val="008B45F7"/>
    <w:pPr>
      <w:spacing w:before="100" w:beforeAutospacing="1" w:after="100" w:afterAutospacing="1"/>
    </w:pPr>
  </w:style>
  <w:style w:type="character" w:styleId="a6">
    <w:name w:val="Strong"/>
    <w:basedOn w:val="a0"/>
    <w:qFormat/>
    <w:rsid w:val="008B45F7"/>
    <w:rPr>
      <w:rFonts w:cs="Times New Roman"/>
      <w:b/>
      <w:bCs/>
    </w:rPr>
  </w:style>
  <w:style w:type="character" w:customStyle="1" w:styleId="apple-converted-space">
    <w:name w:val="apple-converted-space"/>
    <w:basedOn w:val="a0"/>
    <w:rsid w:val="008B45F7"/>
    <w:rPr>
      <w:rFonts w:cs="Times New Roman"/>
    </w:rPr>
  </w:style>
  <w:style w:type="paragraph" w:customStyle="1" w:styleId="PointManual">
    <w:name w:val="Point Manual"/>
    <w:basedOn w:val="a"/>
    <w:rsid w:val="008B45F7"/>
    <w:pPr>
      <w:spacing w:before="200"/>
      <w:ind w:left="567" w:hanging="567"/>
    </w:pPr>
  </w:style>
  <w:style w:type="paragraph" w:customStyle="1" w:styleId="10">
    <w:name w:val="Παράγραφος λίστας1"/>
    <w:basedOn w:val="a"/>
    <w:rsid w:val="00E213B6"/>
    <w:pPr>
      <w:spacing w:after="200" w:line="276" w:lineRule="auto"/>
      <w:ind w:left="720"/>
    </w:pPr>
    <w:rPr>
      <w:rFonts w:ascii="Calibri" w:hAnsi="Calibri"/>
      <w:sz w:val="22"/>
      <w:szCs w:val="22"/>
      <w:lang w:eastAsia="en-US"/>
    </w:rPr>
  </w:style>
  <w:style w:type="character" w:styleId="-">
    <w:name w:val="Hyperlink"/>
    <w:rsid w:val="00AE21A8"/>
    <w:rPr>
      <w:color w:val="003366"/>
      <w:u w:val="single"/>
    </w:rPr>
  </w:style>
  <w:style w:type="paragraph" w:customStyle="1" w:styleId="Default">
    <w:name w:val="Default"/>
    <w:rsid w:val="00972D34"/>
    <w:pPr>
      <w:autoSpaceDE w:val="0"/>
      <w:autoSpaceDN w:val="0"/>
      <w:adjustRightInd w:val="0"/>
    </w:pPr>
    <w:rPr>
      <w:rFonts w:ascii="Tahoma" w:eastAsia="Calibri" w:hAnsi="Tahoma" w:cs="Tahoma"/>
      <w:color w:val="000000"/>
      <w:sz w:val="24"/>
      <w:szCs w:val="24"/>
    </w:rPr>
  </w:style>
  <w:style w:type="paragraph" w:styleId="2">
    <w:name w:val="Body Text 2"/>
    <w:basedOn w:val="a"/>
    <w:link w:val="2Char"/>
    <w:rsid w:val="00EF422B"/>
    <w:pPr>
      <w:spacing w:line="360" w:lineRule="auto"/>
      <w:jc w:val="both"/>
    </w:pPr>
    <w:rPr>
      <w:rFonts w:ascii="Arial" w:eastAsia="Calibri" w:hAnsi="Arial" w:cs="Arial"/>
      <w:color w:val="FF0000"/>
    </w:rPr>
  </w:style>
  <w:style w:type="character" w:customStyle="1" w:styleId="2Char">
    <w:name w:val="Σώμα κείμενου 2 Char"/>
    <w:basedOn w:val="a0"/>
    <w:link w:val="2"/>
    <w:locked/>
    <w:rsid w:val="00EF422B"/>
    <w:rPr>
      <w:rFonts w:ascii="Arial" w:eastAsia="Calibri" w:hAnsi="Arial" w:cs="Arial"/>
      <w:color w:val="FF0000"/>
      <w:sz w:val="24"/>
      <w:szCs w:val="24"/>
      <w:lang w:val="el-GR" w:eastAsia="el-GR" w:bidi="ar-SA"/>
    </w:rPr>
  </w:style>
  <w:style w:type="paragraph" w:customStyle="1" w:styleId="yiv8903445200ydp234e902eyiv9995260496msonormal">
    <w:name w:val="yiv8903445200ydp234e902eyiv9995260496msonormal"/>
    <w:basedOn w:val="a"/>
    <w:rsid w:val="00396D3C"/>
    <w:pPr>
      <w:spacing w:before="100" w:beforeAutospacing="1" w:after="100" w:afterAutospacing="1"/>
    </w:pPr>
  </w:style>
  <w:style w:type="paragraph" w:customStyle="1" w:styleId="yiv8903445200ydp234e902eyiv9995260496doc-ti">
    <w:name w:val="yiv8903445200ydp234e902eyiv9995260496doc-ti"/>
    <w:basedOn w:val="a"/>
    <w:rsid w:val="00396D3C"/>
    <w:pPr>
      <w:spacing w:before="100" w:beforeAutospacing="1" w:after="100" w:afterAutospacing="1"/>
    </w:pPr>
  </w:style>
  <w:style w:type="paragraph" w:styleId="a7">
    <w:name w:val="Body Text"/>
    <w:basedOn w:val="a"/>
    <w:rsid w:val="004B54B5"/>
    <w:pPr>
      <w:widowControl w:val="0"/>
      <w:suppressAutoHyphens/>
      <w:spacing w:after="120"/>
    </w:pPr>
    <w:rPr>
      <w:rFonts w:eastAsia="SimSun" w:cs="Lucida Sans"/>
      <w:kern w:val="1"/>
      <w:lang w:eastAsia="hi-IN" w:bidi="hi-IN"/>
    </w:rPr>
  </w:style>
  <w:style w:type="paragraph" w:customStyle="1" w:styleId="Body">
    <w:name w:val="Body"/>
    <w:rsid w:val="00F2569B"/>
    <w:pPr>
      <w:pBdr>
        <w:top w:val="nil"/>
        <w:left w:val="nil"/>
        <w:bottom w:val="nil"/>
        <w:right w:val="nil"/>
        <w:between w:val="nil"/>
        <w:bar w:val="nil"/>
      </w:pBdr>
    </w:pPr>
    <w:rPr>
      <w:rFonts w:eastAsia="Arial Unicode MS" w:cs="Arial Unicode MS"/>
      <w:color w:val="000000"/>
      <w:sz w:val="24"/>
      <w:szCs w:val="24"/>
      <w:u w:color="000000"/>
      <w:bdr w:val="nil"/>
      <w:shd w:val="nil"/>
    </w:rPr>
  </w:style>
  <w:style w:type="character" w:customStyle="1" w:styleId="Char0">
    <w:name w:val="Κεφαλίδα Char"/>
    <w:basedOn w:val="a0"/>
    <w:link w:val="a5"/>
    <w:uiPriority w:val="99"/>
    <w:rsid w:val="00D30361"/>
    <w:rPr>
      <w:sz w:val="24"/>
      <w:szCs w:val="24"/>
    </w:rPr>
  </w:style>
  <w:style w:type="character" w:customStyle="1" w:styleId="Char">
    <w:name w:val="Υποσέλιδο Char"/>
    <w:basedOn w:val="a0"/>
    <w:link w:val="a3"/>
    <w:uiPriority w:val="99"/>
    <w:rsid w:val="00D30361"/>
    <w:rPr>
      <w:sz w:val="24"/>
      <w:szCs w:val="24"/>
    </w:rPr>
  </w:style>
</w:styles>
</file>

<file path=word/webSettings.xml><?xml version="1.0" encoding="utf-8"?>
<w:webSettings xmlns:r="http://schemas.openxmlformats.org/officeDocument/2006/relationships" xmlns:w="http://schemas.openxmlformats.org/wordprocessingml/2006/main">
  <w:divs>
    <w:div w:id="744783">
      <w:bodyDiv w:val="1"/>
      <w:marLeft w:val="0"/>
      <w:marRight w:val="0"/>
      <w:marTop w:val="0"/>
      <w:marBottom w:val="0"/>
      <w:divBdr>
        <w:top w:val="none" w:sz="0" w:space="0" w:color="auto"/>
        <w:left w:val="none" w:sz="0" w:space="0" w:color="auto"/>
        <w:bottom w:val="none" w:sz="0" w:space="0" w:color="auto"/>
        <w:right w:val="none" w:sz="0" w:space="0" w:color="auto"/>
      </w:divBdr>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537665892">
      <w:bodyDiv w:val="1"/>
      <w:marLeft w:val="0"/>
      <w:marRight w:val="0"/>
      <w:marTop w:val="0"/>
      <w:marBottom w:val="0"/>
      <w:divBdr>
        <w:top w:val="none" w:sz="0" w:space="0" w:color="auto"/>
        <w:left w:val="none" w:sz="0" w:space="0" w:color="auto"/>
        <w:bottom w:val="none" w:sz="0" w:space="0" w:color="auto"/>
        <w:right w:val="none" w:sz="0" w:space="0" w:color="auto"/>
      </w:divBdr>
    </w:div>
    <w:div w:id="796725833">
      <w:bodyDiv w:val="1"/>
      <w:marLeft w:val="0"/>
      <w:marRight w:val="0"/>
      <w:marTop w:val="0"/>
      <w:marBottom w:val="0"/>
      <w:divBdr>
        <w:top w:val="none" w:sz="0" w:space="0" w:color="auto"/>
        <w:left w:val="none" w:sz="0" w:space="0" w:color="auto"/>
        <w:bottom w:val="none" w:sz="0" w:space="0" w:color="auto"/>
        <w:right w:val="none" w:sz="0" w:space="0" w:color="auto"/>
      </w:divBdr>
    </w:div>
    <w:div w:id="993337731">
      <w:bodyDiv w:val="1"/>
      <w:marLeft w:val="0"/>
      <w:marRight w:val="0"/>
      <w:marTop w:val="0"/>
      <w:marBottom w:val="0"/>
      <w:divBdr>
        <w:top w:val="none" w:sz="0" w:space="0" w:color="auto"/>
        <w:left w:val="none" w:sz="0" w:space="0" w:color="auto"/>
        <w:bottom w:val="none" w:sz="0" w:space="0" w:color="auto"/>
        <w:right w:val="none" w:sz="0" w:space="0" w:color="auto"/>
      </w:divBdr>
      <w:divsChild>
        <w:div w:id="110052668">
          <w:marLeft w:val="0"/>
          <w:marRight w:val="0"/>
          <w:marTop w:val="0"/>
          <w:marBottom w:val="0"/>
          <w:divBdr>
            <w:top w:val="none" w:sz="0" w:space="0" w:color="auto"/>
            <w:left w:val="none" w:sz="0" w:space="0" w:color="auto"/>
            <w:bottom w:val="none" w:sz="0" w:space="0" w:color="auto"/>
            <w:right w:val="none" w:sz="0" w:space="0" w:color="auto"/>
          </w:divBdr>
        </w:div>
        <w:div w:id="546530483">
          <w:marLeft w:val="0"/>
          <w:marRight w:val="0"/>
          <w:marTop w:val="0"/>
          <w:marBottom w:val="0"/>
          <w:divBdr>
            <w:top w:val="none" w:sz="0" w:space="0" w:color="auto"/>
            <w:left w:val="none" w:sz="0" w:space="0" w:color="auto"/>
            <w:bottom w:val="none" w:sz="0" w:space="0" w:color="auto"/>
            <w:right w:val="none" w:sz="0" w:space="0" w:color="auto"/>
          </w:divBdr>
        </w:div>
        <w:div w:id="775950916">
          <w:marLeft w:val="0"/>
          <w:marRight w:val="0"/>
          <w:marTop w:val="0"/>
          <w:marBottom w:val="0"/>
          <w:divBdr>
            <w:top w:val="none" w:sz="0" w:space="0" w:color="auto"/>
            <w:left w:val="none" w:sz="0" w:space="0" w:color="auto"/>
            <w:bottom w:val="none" w:sz="0" w:space="0" w:color="auto"/>
            <w:right w:val="none" w:sz="0" w:space="0" w:color="auto"/>
          </w:divBdr>
        </w:div>
        <w:div w:id="809634897">
          <w:marLeft w:val="0"/>
          <w:marRight w:val="0"/>
          <w:marTop w:val="0"/>
          <w:marBottom w:val="0"/>
          <w:divBdr>
            <w:top w:val="none" w:sz="0" w:space="0" w:color="auto"/>
            <w:left w:val="none" w:sz="0" w:space="0" w:color="auto"/>
            <w:bottom w:val="none" w:sz="0" w:space="0" w:color="auto"/>
            <w:right w:val="none" w:sz="0" w:space="0" w:color="auto"/>
          </w:divBdr>
        </w:div>
        <w:div w:id="909653631">
          <w:marLeft w:val="0"/>
          <w:marRight w:val="0"/>
          <w:marTop w:val="0"/>
          <w:marBottom w:val="0"/>
          <w:divBdr>
            <w:top w:val="none" w:sz="0" w:space="0" w:color="auto"/>
            <w:left w:val="none" w:sz="0" w:space="0" w:color="auto"/>
            <w:bottom w:val="none" w:sz="0" w:space="0" w:color="auto"/>
            <w:right w:val="none" w:sz="0" w:space="0" w:color="auto"/>
          </w:divBdr>
        </w:div>
        <w:div w:id="1020472255">
          <w:marLeft w:val="0"/>
          <w:marRight w:val="0"/>
          <w:marTop w:val="0"/>
          <w:marBottom w:val="0"/>
          <w:divBdr>
            <w:top w:val="none" w:sz="0" w:space="0" w:color="auto"/>
            <w:left w:val="none" w:sz="0" w:space="0" w:color="auto"/>
            <w:bottom w:val="none" w:sz="0" w:space="0" w:color="auto"/>
            <w:right w:val="none" w:sz="0" w:space="0" w:color="auto"/>
          </w:divBdr>
        </w:div>
        <w:div w:id="1470442847">
          <w:marLeft w:val="0"/>
          <w:marRight w:val="0"/>
          <w:marTop w:val="0"/>
          <w:marBottom w:val="0"/>
          <w:divBdr>
            <w:top w:val="none" w:sz="0" w:space="0" w:color="auto"/>
            <w:left w:val="none" w:sz="0" w:space="0" w:color="auto"/>
            <w:bottom w:val="none" w:sz="0" w:space="0" w:color="auto"/>
            <w:right w:val="none" w:sz="0" w:space="0" w:color="auto"/>
          </w:divBdr>
        </w:div>
      </w:divsChild>
    </w:div>
    <w:div w:id="1244528710">
      <w:bodyDiv w:val="1"/>
      <w:marLeft w:val="0"/>
      <w:marRight w:val="0"/>
      <w:marTop w:val="0"/>
      <w:marBottom w:val="0"/>
      <w:divBdr>
        <w:top w:val="none" w:sz="0" w:space="0" w:color="auto"/>
        <w:left w:val="none" w:sz="0" w:space="0" w:color="auto"/>
        <w:bottom w:val="none" w:sz="0" w:space="0" w:color="auto"/>
        <w:right w:val="none" w:sz="0" w:space="0" w:color="auto"/>
      </w:divBdr>
    </w:div>
    <w:div w:id="1273394019">
      <w:bodyDiv w:val="1"/>
      <w:marLeft w:val="0"/>
      <w:marRight w:val="0"/>
      <w:marTop w:val="0"/>
      <w:marBottom w:val="0"/>
      <w:divBdr>
        <w:top w:val="none" w:sz="0" w:space="0" w:color="auto"/>
        <w:left w:val="none" w:sz="0" w:space="0" w:color="auto"/>
        <w:bottom w:val="none" w:sz="0" w:space="0" w:color="auto"/>
        <w:right w:val="none" w:sz="0" w:space="0" w:color="auto"/>
      </w:divBdr>
    </w:div>
    <w:div w:id="1388725057">
      <w:bodyDiv w:val="1"/>
      <w:marLeft w:val="0"/>
      <w:marRight w:val="0"/>
      <w:marTop w:val="0"/>
      <w:marBottom w:val="0"/>
      <w:divBdr>
        <w:top w:val="none" w:sz="0" w:space="0" w:color="auto"/>
        <w:left w:val="none" w:sz="0" w:space="0" w:color="auto"/>
        <w:bottom w:val="none" w:sz="0" w:space="0" w:color="auto"/>
        <w:right w:val="none" w:sz="0" w:space="0" w:color="auto"/>
      </w:divBdr>
    </w:div>
    <w:div w:id="1482774581">
      <w:bodyDiv w:val="1"/>
      <w:marLeft w:val="0"/>
      <w:marRight w:val="0"/>
      <w:marTop w:val="0"/>
      <w:marBottom w:val="0"/>
      <w:divBdr>
        <w:top w:val="none" w:sz="0" w:space="0" w:color="auto"/>
        <w:left w:val="none" w:sz="0" w:space="0" w:color="auto"/>
        <w:bottom w:val="none" w:sz="0" w:space="0" w:color="auto"/>
        <w:right w:val="none" w:sz="0" w:space="0" w:color="auto"/>
      </w:divBdr>
    </w:div>
    <w:div w:id="1582565020">
      <w:bodyDiv w:val="1"/>
      <w:marLeft w:val="0"/>
      <w:marRight w:val="0"/>
      <w:marTop w:val="0"/>
      <w:marBottom w:val="0"/>
      <w:divBdr>
        <w:top w:val="none" w:sz="0" w:space="0" w:color="auto"/>
        <w:left w:val="none" w:sz="0" w:space="0" w:color="auto"/>
        <w:bottom w:val="none" w:sz="0" w:space="0" w:color="auto"/>
        <w:right w:val="none" w:sz="0" w:space="0" w:color="auto"/>
      </w:divBdr>
    </w:div>
    <w:div w:id="16684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pkous</dc:creator>
  <cp:lastModifiedBy>pressoffice</cp:lastModifiedBy>
  <cp:revision>5</cp:revision>
  <dcterms:created xsi:type="dcterms:W3CDTF">2021-05-07T17:21:00Z</dcterms:created>
  <dcterms:modified xsi:type="dcterms:W3CDTF">2021-05-07T17:26:00Z</dcterms:modified>
</cp:coreProperties>
</file>