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445" w:rsidRPr="0096791D" w:rsidRDefault="009C2445" w:rsidP="009C2445">
      <w:pPr>
        <w:spacing w:line="360" w:lineRule="auto"/>
        <w:jc w:val="center"/>
        <w:rPr>
          <w:rFonts w:ascii="Calibri" w:hAnsi="Calibri" w:cs="Arial"/>
          <w:b/>
          <w:color w:val="000080"/>
          <w:sz w:val="50"/>
          <w:szCs w:val="50"/>
          <w:lang w:val="en-US"/>
          <w14:shadow w14:blurRad="50800" w14:dist="38100" w14:dir="2700000" w14:sx="100000" w14:sy="100000" w14:kx="0" w14:ky="0" w14:algn="tl">
            <w14:srgbClr w14:val="000000">
              <w14:alpha w14:val="60000"/>
            </w14:srgbClr>
          </w14:shadow>
        </w:rPr>
      </w:pPr>
    </w:p>
    <w:p w:rsidR="009C2445" w:rsidRPr="007E4F38" w:rsidRDefault="009C2445" w:rsidP="009C2445">
      <w:pPr>
        <w:spacing w:line="360" w:lineRule="auto"/>
        <w:jc w:val="center"/>
        <w:rPr>
          <w:rFonts w:ascii="Calibri" w:hAnsi="Calibri" w:cs="Arial"/>
          <w:b/>
          <w:color w:val="000080"/>
          <w:sz w:val="50"/>
          <w:szCs w:val="50"/>
          <w14:shadow w14:blurRad="50800" w14:dist="38100" w14:dir="2700000" w14:sx="100000" w14:sy="100000" w14:kx="0" w14:ky="0" w14:algn="tl">
            <w14:srgbClr w14:val="000000">
              <w14:alpha w14:val="60000"/>
            </w14:srgbClr>
          </w14:shadow>
        </w:rPr>
      </w:pPr>
      <w:r w:rsidRPr="007E4F38">
        <w:rPr>
          <w:rFonts w:ascii="Calibri" w:hAnsi="Calibri" w:cs="Arial"/>
          <w:b/>
          <w:color w:val="000080"/>
          <w:sz w:val="50"/>
          <w:szCs w:val="50"/>
          <w14:shadow w14:blurRad="50800" w14:dist="38100" w14:dir="2700000" w14:sx="100000" w14:sy="100000" w14:kx="0" w14:ky="0" w14:algn="tl">
            <w14:srgbClr w14:val="000000">
              <w14:alpha w14:val="60000"/>
            </w14:srgbClr>
          </w14:shadow>
        </w:rPr>
        <w:t>Θέσεις &amp; Προτάσεις</w:t>
      </w:r>
    </w:p>
    <w:p w:rsidR="009C2445" w:rsidRPr="007E4F38" w:rsidRDefault="009C2445" w:rsidP="009C2445">
      <w:pPr>
        <w:spacing w:line="360" w:lineRule="auto"/>
        <w:jc w:val="center"/>
        <w:rPr>
          <w:rFonts w:ascii="Calibri" w:hAnsi="Calibri" w:cs="Arial"/>
          <w:b/>
          <w:color w:val="000080"/>
          <w:sz w:val="50"/>
          <w:szCs w:val="50"/>
          <w14:shadow w14:blurRad="50800" w14:dist="38100" w14:dir="2700000" w14:sx="100000" w14:sy="100000" w14:kx="0" w14:ky="0" w14:algn="tl">
            <w14:srgbClr w14:val="000000">
              <w14:alpha w14:val="60000"/>
            </w14:srgbClr>
          </w14:shadow>
        </w:rPr>
      </w:pPr>
      <w:r w:rsidRPr="007E4F38">
        <w:rPr>
          <w:rFonts w:ascii="Calibri" w:hAnsi="Calibri" w:cs="Arial"/>
          <w:b/>
          <w:color w:val="000080"/>
          <w:sz w:val="50"/>
          <w:szCs w:val="50"/>
          <w14:shadow w14:blurRad="50800" w14:dist="38100" w14:dir="2700000" w14:sx="100000" w14:sy="100000" w14:kx="0" w14:ky="0" w14:algn="tl">
            <w14:srgbClr w14:val="000000">
              <w14:alpha w14:val="60000"/>
            </w14:srgbClr>
          </w14:shadow>
        </w:rPr>
        <w:t xml:space="preserve">του Συνδέσμου Βιομηχανιών </w:t>
      </w:r>
    </w:p>
    <w:p w:rsidR="009C2445" w:rsidRPr="007E4F38" w:rsidRDefault="009C2445" w:rsidP="009C2445">
      <w:pPr>
        <w:spacing w:line="360" w:lineRule="auto"/>
        <w:jc w:val="center"/>
        <w:rPr>
          <w:rFonts w:ascii="Calibri" w:hAnsi="Calibri" w:cs="Arial"/>
          <w:b/>
          <w:color w:val="000080"/>
          <w:sz w:val="50"/>
          <w:szCs w:val="50"/>
          <w14:shadow w14:blurRad="50800" w14:dist="38100" w14:dir="2700000" w14:sx="100000" w14:sy="100000" w14:kx="0" w14:ky="0" w14:algn="tl">
            <w14:srgbClr w14:val="000000">
              <w14:alpha w14:val="60000"/>
            </w14:srgbClr>
          </w14:shadow>
        </w:rPr>
      </w:pPr>
      <w:r w:rsidRPr="007E4F38">
        <w:rPr>
          <w:rFonts w:ascii="Calibri" w:hAnsi="Calibri" w:cs="Arial"/>
          <w:b/>
          <w:color w:val="000080"/>
          <w:sz w:val="50"/>
          <w:szCs w:val="50"/>
          <w14:shadow w14:blurRad="50800" w14:dist="38100" w14:dir="2700000" w14:sx="100000" w14:sy="100000" w14:kx="0" w14:ky="0" w14:algn="tl">
            <w14:srgbClr w14:val="000000">
              <w14:alpha w14:val="60000"/>
            </w14:srgbClr>
          </w14:shadow>
        </w:rPr>
        <w:t xml:space="preserve">Βορείου Ελλάδος (ΣΒΒΕ) </w:t>
      </w:r>
    </w:p>
    <w:p w:rsidR="009C2445" w:rsidRDefault="009C2445" w:rsidP="009C2445">
      <w:pPr>
        <w:spacing w:after="60"/>
        <w:jc w:val="center"/>
        <w:rPr>
          <w:rFonts w:ascii="Calibri" w:hAnsi="Calibri"/>
          <w:b/>
          <w:sz w:val="28"/>
        </w:rPr>
      </w:pPr>
    </w:p>
    <w:p w:rsidR="00564E26" w:rsidRDefault="00564E26" w:rsidP="009C2445">
      <w:pPr>
        <w:spacing w:after="60"/>
        <w:jc w:val="center"/>
        <w:rPr>
          <w:rFonts w:ascii="Calibri" w:hAnsi="Calibri"/>
          <w:b/>
          <w:sz w:val="28"/>
        </w:rPr>
      </w:pPr>
    </w:p>
    <w:p w:rsidR="00564E26" w:rsidRDefault="00564E26" w:rsidP="009C2445">
      <w:pPr>
        <w:spacing w:after="60"/>
        <w:jc w:val="center"/>
        <w:rPr>
          <w:rFonts w:ascii="Calibri" w:hAnsi="Calibri"/>
          <w:b/>
          <w:sz w:val="28"/>
        </w:rPr>
      </w:pPr>
    </w:p>
    <w:p w:rsidR="0096791D" w:rsidRPr="0096791D" w:rsidRDefault="0096791D" w:rsidP="0096791D">
      <w:pPr>
        <w:pBdr>
          <w:top w:val="single" w:sz="4" w:space="1" w:color="auto"/>
          <w:left w:val="single" w:sz="4" w:space="4" w:color="auto"/>
          <w:bottom w:val="single" w:sz="4" w:space="1" w:color="auto"/>
          <w:right w:val="single" w:sz="4" w:space="10" w:color="auto"/>
        </w:pBdr>
        <w:shd w:val="clear" w:color="auto" w:fill="DEEAF6" w:themeFill="accent1" w:themeFillTint="33"/>
        <w:spacing w:after="60"/>
        <w:jc w:val="center"/>
        <w:rPr>
          <w:rFonts w:ascii="Calibri" w:hAnsi="Calibri" w:cs="Arial"/>
          <w:color w:val="000080"/>
          <w:sz w:val="44"/>
          <w:szCs w:val="40"/>
          <w14:shadow w14:blurRad="50800" w14:dist="38100" w14:dir="2700000" w14:sx="100000" w14:sy="100000" w14:kx="0" w14:ky="0" w14:algn="tl">
            <w14:srgbClr w14:val="000000">
              <w14:alpha w14:val="60000"/>
            </w14:srgbClr>
          </w14:shadow>
        </w:rPr>
      </w:pPr>
      <w:r w:rsidRPr="0096791D">
        <w:rPr>
          <w:rFonts w:ascii="Calibri" w:hAnsi="Calibri" w:cs="Arial"/>
          <w:color w:val="000080"/>
          <w:sz w:val="44"/>
          <w:szCs w:val="40"/>
          <w14:shadow w14:blurRad="50800" w14:dist="38100" w14:dir="2700000" w14:sx="100000" w14:sy="100000" w14:kx="0" w14:ky="0" w14:algn="tl">
            <w14:srgbClr w14:val="000000">
              <w14:alpha w14:val="60000"/>
            </w14:srgbClr>
          </w14:shadow>
        </w:rPr>
        <w:t xml:space="preserve">για την </w:t>
      </w:r>
    </w:p>
    <w:p w:rsidR="0096791D" w:rsidRDefault="0096791D" w:rsidP="0096791D">
      <w:pPr>
        <w:pBdr>
          <w:top w:val="single" w:sz="4" w:space="1" w:color="auto"/>
          <w:left w:val="single" w:sz="4" w:space="4" w:color="auto"/>
          <w:bottom w:val="single" w:sz="4" w:space="1" w:color="auto"/>
          <w:right w:val="single" w:sz="4" w:space="10" w:color="auto"/>
        </w:pBdr>
        <w:shd w:val="clear" w:color="auto" w:fill="DEEAF6" w:themeFill="accent1" w:themeFillTint="33"/>
        <w:spacing w:after="60"/>
        <w:jc w:val="center"/>
        <w:rPr>
          <w:rFonts w:ascii="Calibri" w:hAnsi="Calibri" w:cs="Arial"/>
          <w:b/>
          <w:color w:val="000080"/>
          <w:sz w:val="44"/>
          <w:szCs w:val="40"/>
          <w14:shadow w14:blurRad="50800" w14:dist="38100" w14:dir="2700000" w14:sx="100000" w14:sy="100000" w14:kx="0" w14:ky="0" w14:algn="tl">
            <w14:srgbClr w14:val="000000">
              <w14:alpha w14:val="60000"/>
            </w14:srgbClr>
          </w14:shadow>
        </w:rPr>
      </w:pPr>
      <w:r>
        <w:rPr>
          <w:rFonts w:ascii="Calibri" w:hAnsi="Calibri" w:cs="Arial"/>
          <w:b/>
          <w:color w:val="000080"/>
          <w:sz w:val="44"/>
          <w:szCs w:val="40"/>
          <w14:shadow w14:blurRad="50800" w14:dist="38100" w14:dir="2700000" w14:sx="100000" w14:sy="100000" w14:kx="0" w14:ky="0" w14:algn="tl">
            <w14:srgbClr w14:val="000000">
              <w14:alpha w14:val="60000"/>
            </w14:srgbClr>
          </w14:shadow>
        </w:rPr>
        <w:t xml:space="preserve">«Περιφερειακή Ανάπτυξη» </w:t>
      </w:r>
    </w:p>
    <w:p w:rsidR="0096791D" w:rsidRPr="0096791D" w:rsidRDefault="0096791D" w:rsidP="0096791D">
      <w:pPr>
        <w:pBdr>
          <w:top w:val="single" w:sz="4" w:space="1" w:color="auto"/>
          <w:left w:val="single" w:sz="4" w:space="4" w:color="auto"/>
          <w:bottom w:val="single" w:sz="4" w:space="1" w:color="auto"/>
          <w:right w:val="single" w:sz="4" w:space="10" w:color="auto"/>
        </w:pBdr>
        <w:shd w:val="clear" w:color="auto" w:fill="DEEAF6" w:themeFill="accent1" w:themeFillTint="33"/>
        <w:spacing w:after="60"/>
        <w:jc w:val="center"/>
        <w:rPr>
          <w:rFonts w:ascii="Calibri" w:hAnsi="Calibri" w:cs="Arial"/>
          <w:color w:val="000080"/>
          <w:sz w:val="44"/>
          <w:szCs w:val="40"/>
          <w14:shadow w14:blurRad="50800" w14:dist="38100" w14:dir="2700000" w14:sx="100000" w14:sy="100000" w14:kx="0" w14:ky="0" w14:algn="tl">
            <w14:srgbClr w14:val="000000">
              <w14:alpha w14:val="60000"/>
            </w14:srgbClr>
          </w14:shadow>
        </w:rPr>
      </w:pPr>
      <w:r w:rsidRPr="0096791D">
        <w:rPr>
          <w:rFonts w:ascii="Calibri" w:hAnsi="Calibri" w:cs="Arial"/>
          <w:color w:val="000080"/>
          <w:sz w:val="44"/>
          <w:szCs w:val="40"/>
          <w14:shadow w14:blurRad="50800" w14:dist="38100" w14:dir="2700000" w14:sx="100000" w14:sy="100000" w14:kx="0" w14:ky="0" w14:algn="tl">
            <w14:srgbClr w14:val="000000">
              <w14:alpha w14:val="60000"/>
            </w14:srgbClr>
          </w14:shadow>
        </w:rPr>
        <w:t xml:space="preserve">και την </w:t>
      </w:r>
    </w:p>
    <w:p w:rsidR="009C2445" w:rsidRPr="007E4F38" w:rsidRDefault="0096791D" w:rsidP="0096791D">
      <w:pPr>
        <w:pBdr>
          <w:top w:val="single" w:sz="4" w:space="1" w:color="auto"/>
          <w:left w:val="single" w:sz="4" w:space="4" w:color="auto"/>
          <w:bottom w:val="single" w:sz="4" w:space="1" w:color="auto"/>
          <w:right w:val="single" w:sz="4" w:space="10" w:color="auto"/>
        </w:pBdr>
        <w:shd w:val="clear" w:color="auto" w:fill="DEEAF6" w:themeFill="accent1" w:themeFillTint="33"/>
        <w:spacing w:after="60"/>
        <w:jc w:val="center"/>
        <w:rPr>
          <w:rFonts w:ascii="Calibri" w:hAnsi="Calibri" w:cs="Arial"/>
          <w:b/>
          <w:color w:val="000080"/>
          <w:sz w:val="44"/>
          <w:szCs w:val="40"/>
          <w14:shadow w14:blurRad="50800" w14:dist="38100" w14:dir="2700000" w14:sx="100000" w14:sy="100000" w14:kx="0" w14:ky="0" w14:algn="tl">
            <w14:srgbClr w14:val="000000">
              <w14:alpha w14:val="60000"/>
            </w14:srgbClr>
          </w14:shadow>
        </w:rPr>
      </w:pPr>
      <w:r>
        <w:rPr>
          <w:rFonts w:ascii="Calibri" w:hAnsi="Calibri" w:cs="Arial"/>
          <w:b/>
          <w:color w:val="000080"/>
          <w:sz w:val="44"/>
          <w:szCs w:val="40"/>
          <w14:shadow w14:blurRad="50800" w14:dist="38100" w14:dir="2700000" w14:sx="100000" w14:sy="100000" w14:kx="0" w14:ky="0" w14:algn="tl">
            <w14:srgbClr w14:val="000000">
              <w14:alpha w14:val="60000"/>
            </w14:srgbClr>
          </w14:shadow>
        </w:rPr>
        <w:t>άμβλυνση των «</w:t>
      </w:r>
      <w:r w:rsidR="007D4384" w:rsidRPr="007E4F38">
        <w:rPr>
          <w:rFonts w:ascii="Calibri" w:hAnsi="Calibri" w:cs="Arial"/>
          <w:b/>
          <w:color w:val="000080"/>
          <w:sz w:val="44"/>
          <w:szCs w:val="40"/>
          <w14:shadow w14:blurRad="50800" w14:dist="38100" w14:dir="2700000" w14:sx="100000" w14:sy="100000" w14:kx="0" w14:ky="0" w14:algn="tl">
            <w14:srgbClr w14:val="000000">
              <w14:alpha w14:val="60000"/>
            </w14:srgbClr>
          </w14:shadow>
        </w:rPr>
        <w:t>Περιφερειακών Ανισοτήτων</w:t>
      </w:r>
      <w:r>
        <w:rPr>
          <w:rFonts w:ascii="Calibri" w:hAnsi="Calibri" w:cs="Arial"/>
          <w:b/>
          <w:color w:val="000080"/>
          <w:sz w:val="44"/>
          <w:szCs w:val="40"/>
          <w14:shadow w14:blurRad="50800" w14:dist="38100" w14:dir="2700000" w14:sx="100000" w14:sy="100000" w14:kx="0" w14:ky="0" w14:algn="tl">
            <w14:srgbClr w14:val="000000">
              <w14:alpha w14:val="60000"/>
            </w14:srgbClr>
          </w14:shadow>
        </w:rPr>
        <w:t>»</w:t>
      </w:r>
    </w:p>
    <w:p w:rsidR="00564E26" w:rsidRDefault="00564E26" w:rsidP="009C2445">
      <w:pPr>
        <w:spacing w:after="60"/>
        <w:jc w:val="center"/>
        <w:rPr>
          <w:rFonts w:ascii="Calibri" w:hAnsi="Calibri"/>
          <w:b/>
          <w:sz w:val="28"/>
        </w:rPr>
      </w:pPr>
    </w:p>
    <w:p w:rsidR="00564E26" w:rsidRDefault="00564E26" w:rsidP="009C2445">
      <w:pPr>
        <w:spacing w:after="60"/>
        <w:jc w:val="center"/>
        <w:rPr>
          <w:rFonts w:ascii="Calibri" w:hAnsi="Calibri"/>
          <w:b/>
          <w:sz w:val="28"/>
        </w:rPr>
      </w:pPr>
    </w:p>
    <w:p w:rsidR="00564E26" w:rsidRDefault="00564E26" w:rsidP="009C2445">
      <w:pPr>
        <w:spacing w:after="60"/>
        <w:jc w:val="center"/>
        <w:rPr>
          <w:rFonts w:ascii="Calibri" w:hAnsi="Calibri"/>
          <w:b/>
          <w:sz w:val="28"/>
        </w:rPr>
      </w:pPr>
    </w:p>
    <w:p w:rsidR="00564E26" w:rsidRDefault="00564E26" w:rsidP="009C2445">
      <w:pPr>
        <w:spacing w:after="60"/>
        <w:jc w:val="center"/>
        <w:rPr>
          <w:rFonts w:ascii="Calibri" w:hAnsi="Calibri"/>
          <w:b/>
          <w:sz w:val="28"/>
        </w:rPr>
      </w:pPr>
    </w:p>
    <w:p w:rsidR="008701C2" w:rsidRDefault="008701C2" w:rsidP="008701C2">
      <w:pPr>
        <w:spacing w:after="60"/>
        <w:jc w:val="center"/>
        <w:rPr>
          <w:rFonts w:ascii="Calibri" w:hAnsi="Calibri" w:cs="Arial"/>
          <w:b/>
          <w:color w:val="000080"/>
          <w:sz w:val="40"/>
          <w:szCs w:val="40"/>
          <w14:shadow w14:blurRad="50800" w14:dist="38100" w14:dir="2700000" w14:sx="100000" w14:sy="100000" w14:kx="0" w14:ky="0" w14:algn="tl">
            <w14:srgbClr w14:val="000000">
              <w14:alpha w14:val="60000"/>
            </w14:srgbClr>
          </w14:shadow>
        </w:rPr>
      </w:pPr>
      <w:r w:rsidRPr="007E4F38">
        <w:rPr>
          <w:rFonts w:ascii="Calibri" w:hAnsi="Calibri" w:cs="Arial"/>
          <w:b/>
          <w:color w:val="000080"/>
          <w:sz w:val="40"/>
          <w:szCs w:val="40"/>
          <w14:shadow w14:blurRad="50800" w14:dist="38100" w14:dir="2700000" w14:sx="100000" w14:sy="100000" w14:kx="0" w14:ky="0" w14:algn="tl">
            <w14:srgbClr w14:val="000000">
              <w14:alpha w14:val="60000"/>
            </w14:srgbClr>
          </w14:shadow>
        </w:rPr>
        <w:t xml:space="preserve">Κατά τη συνάντηση της Διοίκησης του ΣΒΒΕ με τον </w:t>
      </w:r>
      <w:r>
        <w:rPr>
          <w:rFonts w:ascii="Calibri" w:hAnsi="Calibri" w:cs="Arial"/>
          <w:b/>
          <w:color w:val="000080"/>
          <w:sz w:val="40"/>
          <w:szCs w:val="40"/>
          <w14:shadow w14:blurRad="50800" w14:dist="38100" w14:dir="2700000" w14:sx="100000" w14:sy="100000" w14:kx="0" w14:ky="0" w14:algn="tl">
            <w14:srgbClr w14:val="000000">
              <w14:alpha w14:val="60000"/>
            </w14:srgbClr>
          </w14:shadow>
        </w:rPr>
        <w:t xml:space="preserve">Αρχηγό της Αξιωματικής Αντιπολίτευσης </w:t>
      </w:r>
    </w:p>
    <w:p w:rsidR="008701C2" w:rsidRDefault="008701C2" w:rsidP="008701C2">
      <w:pPr>
        <w:spacing w:after="60"/>
        <w:jc w:val="center"/>
        <w:rPr>
          <w:rFonts w:ascii="Calibri" w:hAnsi="Calibri"/>
          <w:b/>
          <w:sz w:val="28"/>
        </w:rPr>
      </w:pPr>
      <w:r>
        <w:rPr>
          <w:rFonts w:ascii="Calibri" w:hAnsi="Calibri" w:cs="Arial"/>
          <w:b/>
          <w:color w:val="000080"/>
          <w:sz w:val="40"/>
          <w:szCs w:val="40"/>
          <w14:shadow w14:blurRad="50800" w14:dist="38100" w14:dir="2700000" w14:sx="100000" w14:sy="100000" w14:kx="0" w14:ky="0" w14:algn="tl">
            <w14:srgbClr w14:val="000000">
              <w14:alpha w14:val="60000"/>
            </w14:srgbClr>
          </w14:shadow>
        </w:rPr>
        <w:t>κ. Κυριάκο Μητσοτάκη</w:t>
      </w:r>
    </w:p>
    <w:p w:rsidR="008701C2" w:rsidRDefault="008701C2" w:rsidP="008701C2">
      <w:pPr>
        <w:spacing w:after="60"/>
        <w:jc w:val="center"/>
        <w:rPr>
          <w:rFonts w:ascii="Calibri" w:hAnsi="Calibri"/>
          <w:b/>
          <w:sz w:val="28"/>
        </w:rPr>
      </w:pPr>
    </w:p>
    <w:p w:rsidR="008701C2" w:rsidRDefault="008701C2" w:rsidP="008701C2">
      <w:pPr>
        <w:spacing w:after="60"/>
        <w:jc w:val="center"/>
        <w:rPr>
          <w:rFonts w:ascii="Calibri" w:hAnsi="Calibri"/>
          <w:b/>
          <w:sz w:val="28"/>
        </w:rPr>
      </w:pPr>
    </w:p>
    <w:p w:rsidR="008701C2" w:rsidRDefault="008701C2" w:rsidP="008701C2">
      <w:pPr>
        <w:spacing w:after="60"/>
        <w:jc w:val="center"/>
        <w:rPr>
          <w:rFonts w:ascii="Calibri" w:hAnsi="Calibri"/>
          <w:b/>
          <w:sz w:val="28"/>
        </w:rPr>
      </w:pPr>
    </w:p>
    <w:p w:rsidR="008701C2" w:rsidRDefault="008701C2" w:rsidP="008701C2">
      <w:pPr>
        <w:spacing w:after="60"/>
        <w:jc w:val="center"/>
        <w:rPr>
          <w:rFonts w:ascii="Calibri" w:hAnsi="Calibri"/>
          <w:b/>
          <w:sz w:val="28"/>
        </w:rPr>
      </w:pPr>
    </w:p>
    <w:p w:rsidR="006E49DF" w:rsidRPr="007E4F38" w:rsidRDefault="008701C2" w:rsidP="008701C2">
      <w:pPr>
        <w:spacing w:line="360" w:lineRule="auto"/>
        <w:jc w:val="center"/>
        <w:rPr>
          <w:rFonts w:ascii="Calibri" w:hAnsi="Calibri" w:cs="Arial"/>
          <w:b/>
          <w:color w:val="000080"/>
          <w:sz w:val="28"/>
          <w:szCs w:val="38"/>
          <w14:shadow w14:blurRad="50800" w14:dist="38100" w14:dir="2700000" w14:sx="100000" w14:sy="100000" w14:kx="0" w14:ky="0" w14:algn="tl">
            <w14:srgbClr w14:val="000000">
              <w14:alpha w14:val="60000"/>
            </w14:srgbClr>
          </w14:shadow>
        </w:rPr>
      </w:pPr>
      <w:r>
        <w:rPr>
          <w:rFonts w:ascii="Calibri" w:hAnsi="Calibri" w:cs="Arial"/>
          <w:b/>
          <w:color w:val="000080"/>
          <w:sz w:val="28"/>
          <w:szCs w:val="38"/>
          <w14:shadow w14:blurRad="50800" w14:dist="38100" w14:dir="2700000" w14:sx="100000" w14:sy="100000" w14:kx="0" w14:ky="0" w14:algn="tl">
            <w14:srgbClr w14:val="000000">
              <w14:alpha w14:val="60000"/>
            </w14:srgbClr>
          </w14:shadow>
        </w:rPr>
        <w:t xml:space="preserve">Αθήνα, </w:t>
      </w:r>
      <w:r w:rsidR="00546016">
        <w:rPr>
          <w:rFonts w:ascii="Calibri" w:hAnsi="Calibri" w:cs="Arial"/>
          <w:b/>
          <w:color w:val="000080"/>
          <w:sz w:val="28"/>
          <w:szCs w:val="38"/>
          <w14:shadow w14:blurRad="50800" w14:dist="38100" w14:dir="2700000" w14:sx="100000" w14:sy="100000" w14:kx="0" w14:ky="0" w14:algn="tl">
            <w14:srgbClr w14:val="000000">
              <w14:alpha w14:val="60000"/>
            </w14:srgbClr>
          </w14:shadow>
        </w:rPr>
        <w:t>5</w:t>
      </w:r>
      <w:r>
        <w:rPr>
          <w:rFonts w:ascii="Calibri" w:hAnsi="Calibri" w:cs="Arial"/>
          <w:b/>
          <w:color w:val="000080"/>
          <w:sz w:val="28"/>
          <w:szCs w:val="38"/>
          <w14:shadow w14:blurRad="50800" w14:dist="38100" w14:dir="2700000" w14:sx="100000" w14:sy="100000" w14:kx="0" w14:ky="0" w14:algn="tl">
            <w14:srgbClr w14:val="000000">
              <w14:alpha w14:val="60000"/>
            </w14:srgbClr>
          </w14:shadow>
        </w:rPr>
        <w:t xml:space="preserve"> Σεπτεμβρίου </w:t>
      </w:r>
      <w:r w:rsidRPr="007E4F38">
        <w:rPr>
          <w:rFonts w:ascii="Calibri" w:hAnsi="Calibri" w:cs="Arial"/>
          <w:b/>
          <w:color w:val="000080"/>
          <w:sz w:val="28"/>
          <w:szCs w:val="38"/>
          <w14:shadow w14:blurRad="50800" w14:dist="38100" w14:dir="2700000" w14:sx="100000" w14:sy="100000" w14:kx="0" w14:ky="0" w14:algn="tl">
            <w14:srgbClr w14:val="000000">
              <w14:alpha w14:val="60000"/>
            </w14:srgbClr>
          </w14:shadow>
        </w:rPr>
        <w:t>2018</w:t>
      </w:r>
      <w:r w:rsidR="006E49DF">
        <w:rPr>
          <w:rFonts w:cs="Arial"/>
          <w:sz w:val="24"/>
        </w:rPr>
        <w:br w:type="page"/>
      </w:r>
    </w:p>
    <w:p w:rsidR="005C6CE4" w:rsidRDefault="005C6CE4" w:rsidP="005C6CE4">
      <w:pPr>
        <w:jc w:val="both"/>
        <w:rPr>
          <w:rFonts w:ascii="Calibri" w:eastAsia="Calibri" w:hAnsi="Calibri"/>
          <w:b/>
          <w:color w:val="1F3864"/>
          <w:sz w:val="28"/>
          <w:szCs w:val="32"/>
        </w:rPr>
      </w:pPr>
    </w:p>
    <w:p w:rsidR="005C6CE4" w:rsidRDefault="005C6CE4" w:rsidP="005C6CE4">
      <w:pPr>
        <w:jc w:val="center"/>
        <w:rPr>
          <w:rFonts w:ascii="Calibri" w:eastAsia="Calibri" w:hAnsi="Calibri"/>
          <w:b/>
          <w:color w:val="1F3864"/>
          <w:sz w:val="28"/>
          <w:szCs w:val="32"/>
        </w:rPr>
      </w:pPr>
      <w:r>
        <w:rPr>
          <w:rFonts w:ascii="Calibri" w:eastAsia="Calibri" w:hAnsi="Calibri"/>
          <w:b/>
          <w:noProof/>
          <w:color w:val="1F3864"/>
          <w:sz w:val="28"/>
          <w:szCs w:val="32"/>
        </w:rPr>
        <mc:AlternateContent>
          <mc:Choice Requires="wps">
            <w:drawing>
              <wp:anchor distT="0" distB="0" distL="114300" distR="114300" simplePos="0" relativeHeight="251659264" behindDoc="0" locked="0" layoutInCell="1" allowOverlap="1" wp14:anchorId="6A84B7CA" wp14:editId="008BA790">
                <wp:simplePos x="0" y="0"/>
                <wp:positionH relativeFrom="margin">
                  <wp:align>left</wp:align>
                </wp:positionH>
                <wp:positionV relativeFrom="paragraph">
                  <wp:posOffset>130438</wp:posOffset>
                </wp:positionV>
                <wp:extent cx="6384750" cy="1103586"/>
                <wp:effectExtent l="0" t="0" r="16510" b="20955"/>
                <wp:wrapNone/>
                <wp:docPr id="5" name="Πλαίσιο κειμένου 5"/>
                <wp:cNvGraphicFramePr/>
                <a:graphic xmlns:a="http://schemas.openxmlformats.org/drawingml/2006/main">
                  <a:graphicData uri="http://schemas.microsoft.com/office/word/2010/wordprocessingShape">
                    <wps:wsp>
                      <wps:cNvSpPr txBox="1"/>
                      <wps:spPr>
                        <a:xfrm>
                          <a:off x="0" y="0"/>
                          <a:ext cx="6384750" cy="11035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6CE4" w:rsidRPr="005C6CE4" w:rsidRDefault="005C6CE4" w:rsidP="005C6CE4">
                            <w:pPr>
                              <w:jc w:val="center"/>
                              <w:rPr>
                                <w:rFonts w:asciiTheme="minorHAnsi" w:hAnsiTheme="minorHAnsi" w:cstheme="minorHAnsi"/>
                                <w:b/>
                                <w:sz w:val="32"/>
                              </w:rPr>
                            </w:pPr>
                            <w:r w:rsidRPr="005C6CE4">
                              <w:rPr>
                                <w:rFonts w:asciiTheme="minorHAnsi" w:hAnsiTheme="minorHAnsi" w:cstheme="minorHAnsi"/>
                                <w:b/>
                                <w:sz w:val="32"/>
                              </w:rPr>
                              <w:t xml:space="preserve">ΠΡΟΤΑΣΕΙΣ ΤΟΥ ΣΒΒΕ </w:t>
                            </w:r>
                          </w:p>
                          <w:p w:rsidR="005C6CE4" w:rsidRPr="005C6CE4" w:rsidRDefault="005C6CE4" w:rsidP="005C6CE4">
                            <w:pPr>
                              <w:jc w:val="center"/>
                              <w:rPr>
                                <w:rFonts w:asciiTheme="minorHAnsi" w:hAnsiTheme="minorHAnsi" w:cstheme="minorHAnsi"/>
                                <w:b/>
                                <w:sz w:val="32"/>
                              </w:rPr>
                            </w:pPr>
                            <w:r w:rsidRPr="005C6CE4">
                              <w:rPr>
                                <w:rFonts w:asciiTheme="minorHAnsi" w:hAnsiTheme="minorHAnsi" w:cstheme="minorHAnsi"/>
                                <w:b/>
                                <w:sz w:val="32"/>
                              </w:rPr>
                              <w:t xml:space="preserve">ΓΙΑ ΤΗ ΜΕΙΩΣΗ ΤΩΝ ΠΕΡΙΦΕΡΕΙΑΚΩΝ ΑΝΙΣΟΤΗΤΩΝ </w:t>
                            </w:r>
                          </w:p>
                          <w:p w:rsidR="005C6CE4" w:rsidRPr="005C6CE4" w:rsidRDefault="005C6CE4" w:rsidP="005C6CE4">
                            <w:pPr>
                              <w:jc w:val="center"/>
                              <w:rPr>
                                <w:rFonts w:asciiTheme="minorHAnsi" w:hAnsiTheme="minorHAnsi" w:cstheme="minorHAnsi"/>
                                <w:b/>
                                <w:sz w:val="32"/>
                              </w:rPr>
                            </w:pPr>
                            <w:r w:rsidRPr="005C6CE4">
                              <w:rPr>
                                <w:rFonts w:asciiTheme="minorHAnsi" w:hAnsiTheme="minorHAnsi" w:cstheme="minorHAnsi"/>
                                <w:b/>
                                <w:sz w:val="32"/>
                              </w:rPr>
                              <w:t xml:space="preserve">ΚΑΙ ΤΗΝ ΕΜΠΡΑΚΤΗ ΕΝΙΣΧΥΣΗ ΤΗΣ ΑΝΤΑΓΩΝΙΣΤΙΚΟΤΗΤΑΣ </w:t>
                            </w:r>
                          </w:p>
                          <w:p w:rsidR="005C6CE4" w:rsidRPr="005C6CE4" w:rsidRDefault="005C6CE4" w:rsidP="005C6CE4">
                            <w:pPr>
                              <w:jc w:val="center"/>
                              <w:rPr>
                                <w:rFonts w:asciiTheme="minorHAnsi" w:hAnsiTheme="minorHAnsi" w:cstheme="minorHAnsi"/>
                                <w:b/>
                                <w:sz w:val="44"/>
                              </w:rPr>
                            </w:pPr>
                            <w:r w:rsidRPr="005C6CE4">
                              <w:rPr>
                                <w:rFonts w:asciiTheme="minorHAnsi" w:hAnsiTheme="minorHAnsi" w:cstheme="minorHAnsi"/>
                                <w:b/>
                                <w:sz w:val="32"/>
                              </w:rPr>
                              <w:t>ΤΗΣ ΕΓΧΩΡΙΑΣ ΒΙΟΜΗΧΑΝΙΑΣ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4B7CA" id="_x0000_t202" coordsize="21600,21600" o:spt="202" path="m,l,21600r21600,l21600,xe">
                <v:stroke joinstyle="miter"/>
                <v:path gradientshapeok="t" o:connecttype="rect"/>
              </v:shapetype>
              <v:shape id="Πλαίσιο κειμένου 5" o:spid="_x0000_s1026" type="#_x0000_t202" style="position:absolute;left:0;text-align:left;margin-left:0;margin-top:10.25pt;width:502.75pt;height:86.9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" fillcolor="white [3201]" strokeweight=".5pt">
                <v:textbox>
                  <w:txbxContent>
                    <w:p w:rsidR="005C6CE4" w:rsidRPr="005C6CE4" w:rsidRDefault="005C6CE4" w:rsidP="005C6CE4">
                      <w:pPr>
                        <w:jc w:val="center"/>
                        <w:rPr>
                          <w:rFonts w:asciiTheme="minorHAnsi" w:hAnsiTheme="minorHAnsi" w:cstheme="minorHAnsi"/>
                          <w:b/>
                          <w:sz w:val="32"/>
                        </w:rPr>
                      </w:pPr>
                      <w:bookmarkStart w:id="1" w:name="_GoBack"/>
                      <w:bookmarkEnd w:id="1"/>
                      <w:r w:rsidRPr="005C6CE4">
                        <w:rPr>
                          <w:rFonts w:asciiTheme="minorHAnsi" w:hAnsiTheme="minorHAnsi" w:cstheme="minorHAnsi"/>
                          <w:b/>
                          <w:sz w:val="32"/>
                        </w:rPr>
                        <w:t xml:space="preserve">ΠΡΟΤΑΣΕΙΣ ΤΟΥ ΣΒΒΕ </w:t>
                      </w:r>
                    </w:p>
                    <w:p w:rsidR="005C6CE4" w:rsidRPr="005C6CE4" w:rsidRDefault="005C6CE4" w:rsidP="005C6CE4">
                      <w:pPr>
                        <w:jc w:val="center"/>
                        <w:rPr>
                          <w:rFonts w:asciiTheme="minorHAnsi" w:hAnsiTheme="minorHAnsi" w:cstheme="minorHAnsi"/>
                          <w:b/>
                          <w:sz w:val="32"/>
                        </w:rPr>
                      </w:pPr>
                      <w:r w:rsidRPr="005C6CE4">
                        <w:rPr>
                          <w:rFonts w:asciiTheme="minorHAnsi" w:hAnsiTheme="minorHAnsi" w:cstheme="minorHAnsi"/>
                          <w:b/>
                          <w:sz w:val="32"/>
                        </w:rPr>
                        <w:t xml:space="preserve">ΓΙΑ ΤΗ ΜΕΙΩΣΗ ΤΩΝ ΠΕΡΙΦΕΡΕΙΑΚΩΝ ΑΝΙΣΟΤΗΤΩΝ </w:t>
                      </w:r>
                    </w:p>
                    <w:p w:rsidR="005C6CE4" w:rsidRPr="005C6CE4" w:rsidRDefault="005C6CE4" w:rsidP="005C6CE4">
                      <w:pPr>
                        <w:jc w:val="center"/>
                        <w:rPr>
                          <w:rFonts w:asciiTheme="minorHAnsi" w:hAnsiTheme="minorHAnsi" w:cstheme="minorHAnsi"/>
                          <w:b/>
                          <w:sz w:val="32"/>
                        </w:rPr>
                      </w:pPr>
                      <w:r w:rsidRPr="005C6CE4">
                        <w:rPr>
                          <w:rFonts w:asciiTheme="minorHAnsi" w:hAnsiTheme="minorHAnsi" w:cstheme="minorHAnsi"/>
                          <w:b/>
                          <w:sz w:val="32"/>
                        </w:rPr>
                        <w:t xml:space="preserve">ΚΑΙ ΤΗΝ ΕΜΠΡΑΚΤΗ ΕΝΙΣΧΥΣΗ ΤΗΣ ΑΝΤΑΓΩΝΙΣΤΙΚΟΤΗΤΑΣ </w:t>
                      </w:r>
                    </w:p>
                    <w:p w:rsidR="005C6CE4" w:rsidRPr="005C6CE4" w:rsidRDefault="005C6CE4" w:rsidP="005C6CE4">
                      <w:pPr>
                        <w:jc w:val="center"/>
                        <w:rPr>
                          <w:rFonts w:asciiTheme="minorHAnsi" w:hAnsiTheme="minorHAnsi" w:cstheme="minorHAnsi"/>
                          <w:b/>
                          <w:sz w:val="44"/>
                        </w:rPr>
                      </w:pPr>
                      <w:r w:rsidRPr="005C6CE4">
                        <w:rPr>
                          <w:rFonts w:asciiTheme="minorHAnsi" w:hAnsiTheme="minorHAnsi" w:cstheme="minorHAnsi"/>
                          <w:b/>
                          <w:sz w:val="32"/>
                        </w:rPr>
                        <w:t>ΤΗΣ ΕΓΧΩΡΙΑΣ ΒΙΟΜΗΧΑΝΙΑΣ</w:t>
                      </w:r>
                    </w:p>
                  </w:txbxContent>
                </v:textbox>
                <w10:wrap anchorx="margin"/>
              </v:shape>
            </w:pict>
          </mc:Fallback>
        </mc:AlternateContent>
      </w:r>
    </w:p>
    <w:p w:rsidR="005C6CE4" w:rsidRDefault="005C6CE4" w:rsidP="005C6CE4">
      <w:pPr>
        <w:jc w:val="center"/>
        <w:rPr>
          <w:rFonts w:ascii="Calibri" w:eastAsia="Calibri" w:hAnsi="Calibri"/>
          <w:b/>
          <w:color w:val="1F3864"/>
          <w:sz w:val="28"/>
          <w:szCs w:val="32"/>
        </w:rPr>
      </w:pPr>
    </w:p>
    <w:p w:rsidR="005C6CE4" w:rsidRDefault="005C6CE4" w:rsidP="005C6CE4">
      <w:pPr>
        <w:jc w:val="center"/>
        <w:rPr>
          <w:rFonts w:ascii="Calibri" w:eastAsia="Calibri" w:hAnsi="Calibri"/>
          <w:b/>
          <w:color w:val="1F3864"/>
          <w:sz w:val="28"/>
          <w:szCs w:val="32"/>
        </w:rPr>
      </w:pPr>
    </w:p>
    <w:p w:rsidR="005C6CE4" w:rsidRDefault="005C6CE4" w:rsidP="005C6CE4">
      <w:pPr>
        <w:jc w:val="center"/>
        <w:rPr>
          <w:rFonts w:ascii="Calibri" w:eastAsia="Calibri" w:hAnsi="Calibri"/>
          <w:b/>
          <w:color w:val="1F3864"/>
          <w:sz w:val="28"/>
          <w:szCs w:val="32"/>
        </w:rPr>
      </w:pPr>
    </w:p>
    <w:p w:rsidR="005C6CE4" w:rsidRDefault="005C6CE4" w:rsidP="005C6CE4">
      <w:pPr>
        <w:jc w:val="center"/>
        <w:rPr>
          <w:rFonts w:ascii="Calibri" w:eastAsia="Calibri" w:hAnsi="Calibri"/>
          <w:b/>
          <w:color w:val="1F3864"/>
          <w:sz w:val="28"/>
          <w:szCs w:val="32"/>
        </w:rPr>
      </w:pPr>
    </w:p>
    <w:p w:rsidR="005C6CE4" w:rsidRDefault="005C6CE4" w:rsidP="005C6CE4">
      <w:pPr>
        <w:jc w:val="center"/>
        <w:rPr>
          <w:rFonts w:ascii="Calibri" w:eastAsia="Calibri" w:hAnsi="Calibri"/>
          <w:b/>
          <w:color w:val="1F3864"/>
          <w:sz w:val="28"/>
          <w:szCs w:val="32"/>
        </w:rPr>
      </w:pPr>
    </w:p>
    <w:p w:rsidR="005C6CE4" w:rsidRDefault="005C6CE4" w:rsidP="007D4384">
      <w:pPr>
        <w:jc w:val="both"/>
        <w:rPr>
          <w:rFonts w:ascii="Calibri" w:eastAsia="Calibri" w:hAnsi="Calibri"/>
          <w:b/>
          <w:color w:val="1F3864"/>
          <w:sz w:val="28"/>
          <w:szCs w:val="32"/>
        </w:rPr>
      </w:pPr>
    </w:p>
    <w:p w:rsidR="005C6CE4" w:rsidRDefault="005C6CE4" w:rsidP="007D4384">
      <w:pPr>
        <w:jc w:val="both"/>
        <w:rPr>
          <w:rFonts w:ascii="Calibri" w:eastAsia="Calibri" w:hAnsi="Calibri"/>
          <w:b/>
          <w:color w:val="1F3864"/>
          <w:sz w:val="28"/>
          <w:szCs w:val="32"/>
        </w:rPr>
      </w:pPr>
    </w:p>
    <w:p w:rsidR="008701C2" w:rsidRDefault="005C6CE4" w:rsidP="007D4384">
      <w:pPr>
        <w:jc w:val="both"/>
        <w:rPr>
          <w:rFonts w:ascii="Calibri" w:eastAsia="Calibri" w:hAnsi="Calibri"/>
          <w:b/>
          <w:color w:val="1F3864"/>
          <w:sz w:val="28"/>
          <w:szCs w:val="32"/>
        </w:rPr>
      </w:pPr>
      <w:r w:rsidRPr="005C6CE4">
        <w:rPr>
          <w:rFonts w:ascii="Calibri" w:eastAsia="Calibri" w:hAnsi="Calibri"/>
          <w:b/>
          <w:noProof/>
          <w:color w:val="1F3864"/>
          <w:sz w:val="28"/>
          <w:szCs w:val="32"/>
        </w:rPr>
        <w:drawing>
          <wp:inline distT="0" distB="0" distL="0" distR="0" wp14:anchorId="174A6C44" wp14:editId="5793CDE8">
            <wp:extent cx="6164318" cy="6080760"/>
            <wp:effectExtent l="0" t="38100" r="0" b="5334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0" w:name="_GoBack"/>
      <w:bookmarkEnd w:id="0"/>
    </w:p>
    <w:p w:rsidR="008701C2" w:rsidRDefault="008701C2">
      <w:pPr>
        <w:rPr>
          <w:rFonts w:ascii="Calibri" w:eastAsia="Calibri" w:hAnsi="Calibri"/>
          <w:b/>
          <w:color w:val="1F3864"/>
          <w:sz w:val="28"/>
          <w:szCs w:val="32"/>
        </w:rPr>
      </w:pPr>
      <w:r>
        <w:rPr>
          <w:rFonts w:ascii="Calibri" w:eastAsia="Calibri" w:hAnsi="Calibri"/>
          <w:b/>
          <w:color w:val="1F3864"/>
          <w:sz w:val="28"/>
          <w:szCs w:val="32"/>
        </w:rPr>
        <w:br w:type="page"/>
      </w:r>
    </w:p>
    <w:p w:rsidR="007D4384" w:rsidRPr="00127B85" w:rsidRDefault="006443CC" w:rsidP="007D4384">
      <w:pPr>
        <w:jc w:val="both"/>
        <w:rPr>
          <w:rFonts w:ascii="Calibri" w:eastAsia="Calibri" w:hAnsi="Calibri"/>
          <w:b/>
          <w:color w:val="1F3864"/>
          <w:sz w:val="28"/>
          <w:szCs w:val="32"/>
        </w:rPr>
      </w:pPr>
      <w:r>
        <w:rPr>
          <w:rFonts w:ascii="Calibri" w:eastAsia="Calibri" w:hAnsi="Calibri"/>
          <w:b/>
          <w:color w:val="1F3864"/>
          <w:sz w:val="28"/>
          <w:szCs w:val="32"/>
        </w:rPr>
        <w:lastRenderedPageBreak/>
        <w:t xml:space="preserve">ΟΙ </w:t>
      </w:r>
      <w:r w:rsidR="006863E5">
        <w:rPr>
          <w:rFonts w:ascii="Calibri" w:eastAsia="Calibri" w:hAnsi="Calibri"/>
          <w:b/>
          <w:color w:val="1F3864"/>
          <w:sz w:val="28"/>
          <w:szCs w:val="32"/>
        </w:rPr>
        <w:t>ΠΕΡΙΦΕΡΕΙΑΚΕΣ ΑΝΙΣΟΤΗΤΕΣ ΣΤΗΝ ΕΛΛΑΔΑ: από τον στόχο της «περιφερειακής σύγκλισης» στην «περιφερειακή απόκλιση»</w:t>
      </w:r>
    </w:p>
    <w:p w:rsidR="005C5216" w:rsidRDefault="007D4384" w:rsidP="006863E5">
      <w:pPr>
        <w:spacing w:before="120" w:after="120"/>
        <w:jc w:val="both"/>
        <w:rPr>
          <w:rFonts w:ascii="Calibri" w:hAnsi="Calibri"/>
        </w:rPr>
      </w:pPr>
      <w:r w:rsidRPr="007D4384">
        <w:rPr>
          <w:rFonts w:ascii="Calibri" w:hAnsi="Calibri"/>
        </w:rPr>
        <w:t xml:space="preserve">Η περιφερειακή ανάπτυξη στον ελληνικό </w:t>
      </w:r>
      <w:r w:rsidR="009301C2">
        <w:rPr>
          <w:rFonts w:ascii="Calibri" w:hAnsi="Calibri"/>
        </w:rPr>
        <w:t xml:space="preserve">οικονομικό </w:t>
      </w:r>
      <w:r w:rsidRPr="007D4384">
        <w:rPr>
          <w:rFonts w:ascii="Calibri" w:hAnsi="Calibri"/>
        </w:rPr>
        <w:t xml:space="preserve">χώρο αποτελεί το σοβαρότερο πρόβλημα για την οικονομική και κοινωνική ανάπτυξη της χώρας από τη δεκαετία του 1960 κ.ε.. </w:t>
      </w:r>
      <w:r w:rsidR="00DC41AC">
        <w:rPr>
          <w:rFonts w:ascii="Calibri" w:hAnsi="Calibri"/>
        </w:rPr>
        <w:t>Γ</w:t>
      </w:r>
      <w:r w:rsidR="00974D94">
        <w:rPr>
          <w:rFonts w:ascii="Calibri" w:hAnsi="Calibri"/>
        </w:rPr>
        <w:t xml:space="preserve">ια τα τελευταία </w:t>
      </w:r>
      <w:r w:rsidRPr="007D4384">
        <w:rPr>
          <w:rFonts w:ascii="Calibri" w:hAnsi="Calibri"/>
        </w:rPr>
        <w:t>17 χρόνια</w:t>
      </w:r>
      <w:r w:rsidR="0000617D">
        <w:rPr>
          <w:rFonts w:ascii="Calibri" w:hAnsi="Calibri"/>
        </w:rPr>
        <w:t xml:space="preserve"> άσκησης </w:t>
      </w:r>
      <w:r w:rsidRPr="007D4384">
        <w:rPr>
          <w:rFonts w:ascii="Calibri" w:hAnsi="Calibri"/>
        </w:rPr>
        <w:t xml:space="preserve">της ελληνικής περιφερειακής πολιτικής, </w:t>
      </w:r>
      <w:r w:rsidR="0000617D">
        <w:rPr>
          <w:rFonts w:ascii="Calibri" w:hAnsi="Calibri"/>
        </w:rPr>
        <w:t xml:space="preserve">(2000 – 2016) </w:t>
      </w:r>
      <w:r w:rsidR="00974D94">
        <w:rPr>
          <w:rFonts w:ascii="Calibri" w:hAnsi="Calibri"/>
        </w:rPr>
        <w:t xml:space="preserve">τα επίσημα δημοσιευμένα στοιχεία </w:t>
      </w:r>
      <w:r w:rsidR="00DE7019">
        <w:rPr>
          <w:rFonts w:ascii="Calibri" w:hAnsi="Calibri"/>
        </w:rPr>
        <w:t xml:space="preserve">δεν </w:t>
      </w:r>
      <w:r w:rsidR="00974D94">
        <w:rPr>
          <w:rFonts w:ascii="Calibri" w:hAnsi="Calibri"/>
        </w:rPr>
        <w:t xml:space="preserve">αποδεικνύουν </w:t>
      </w:r>
      <w:r w:rsidR="00DE7019">
        <w:rPr>
          <w:rFonts w:ascii="Calibri" w:hAnsi="Calibri"/>
        </w:rPr>
        <w:t xml:space="preserve">σε καμία περίπτωση </w:t>
      </w:r>
      <w:r w:rsidR="00974D94">
        <w:rPr>
          <w:rFonts w:ascii="Calibri" w:hAnsi="Calibri"/>
        </w:rPr>
        <w:t xml:space="preserve">την επίτευξη του </w:t>
      </w:r>
      <w:r w:rsidR="00DE7019">
        <w:rPr>
          <w:rFonts w:ascii="Calibri" w:hAnsi="Calibri"/>
        </w:rPr>
        <w:t xml:space="preserve">διακηρυγμένου </w:t>
      </w:r>
      <w:r w:rsidR="00974D94">
        <w:rPr>
          <w:rFonts w:ascii="Calibri" w:hAnsi="Calibri"/>
        </w:rPr>
        <w:t xml:space="preserve">στόχου της «περιφερειακής σύγκλισης». Αντίθετα, η μελέτη των </w:t>
      </w:r>
      <w:r w:rsidR="00271E8A">
        <w:rPr>
          <w:rFonts w:ascii="Calibri" w:hAnsi="Calibri"/>
        </w:rPr>
        <w:t xml:space="preserve">μακροοικονομικών </w:t>
      </w:r>
      <w:r w:rsidR="00974D94">
        <w:rPr>
          <w:rFonts w:ascii="Calibri" w:hAnsi="Calibri"/>
        </w:rPr>
        <w:t xml:space="preserve">στοιχείων συνολικά για τη 17ετία 2000 – 2016, όσο και </w:t>
      </w:r>
      <w:r w:rsidR="00DE7019">
        <w:rPr>
          <w:rFonts w:ascii="Calibri" w:hAnsi="Calibri"/>
        </w:rPr>
        <w:t xml:space="preserve">η μελέτη των αντίστοιχων στοιχείων μεμονωμένα </w:t>
      </w:r>
      <w:r w:rsidR="00974D94">
        <w:rPr>
          <w:rFonts w:ascii="Calibri" w:hAnsi="Calibri"/>
        </w:rPr>
        <w:t xml:space="preserve">για τις δυο περιόδους προ και κατά τη διάρκεια της οικονομικής κρίσης, δηλαδή τις περιόδους πριν και μετά το 2008, επιβεβαιώνουν </w:t>
      </w:r>
      <w:r w:rsidR="00DE7019">
        <w:rPr>
          <w:rFonts w:ascii="Calibri" w:hAnsi="Calibri"/>
        </w:rPr>
        <w:t xml:space="preserve">μονίμως </w:t>
      </w:r>
      <w:r w:rsidR="00974D94">
        <w:rPr>
          <w:rFonts w:ascii="Calibri" w:hAnsi="Calibri"/>
        </w:rPr>
        <w:t xml:space="preserve">την πρωτοπορία της Αττικής, την οπισθοδρόμηση των υπολοίπων περιφερειών </w:t>
      </w:r>
      <w:r w:rsidR="00DE7019">
        <w:rPr>
          <w:rFonts w:ascii="Calibri" w:hAnsi="Calibri"/>
        </w:rPr>
        <w:t xml:space="preserve">με όρους ανάπτυξης και απασχόλησης, </w:t>
      </w:r>
      <w:r w:rsidR="00974D94">
        <w:rPr>
          <w:rFonts w:ascii="Calibri" w:hAnsi="Calibri"/>
        </w:rPr>
        <w:t>και</w:t>
      </w:r>
      <w:r w:rsidR="00DE7019">
        <w:rPr>
          <w:rFonts w:ascii="Calibri" w:hAnsi="Calibri"/>
        </w:rPr>
        <w:t>, εν τέλ</w:t>
      </w:r>
      <w:r w:rsidR="0000617D">
        <w:rPr>
          <w:rFonts w:ascii="Calibri" w:hAnsi="Calibri"/>
        </w:rPr>
        <w:t>ε</w:t>
      </w:r>
      <w:r w:rsidR="00DE7019">
        <w:rPr>
          <w:rFonts w:ascii="Calibri" w:hAnsi="Calibri"/>
        </w:rPr>
        <w:t>ι,</w:t>
      </w:r>
      <w:r w:rsidR="00974D94">
        <w:rPr>
          <w:rFonts w:ascii="Calibri" w:hAnsi="Calibri"/>
        </w:rPr>
        <w:t xml:space="preserve"> την αύξηση του «αναπτυξιακού χάσματος» μεταξύ «κέντρου» και «περιφέρειας».</w:t>
      </w:r>
      <w:r w:rsidR="0000617D">
        <w:rPr>
          <w:rFonts w:ascii="Calibri" w:hAnsi="Calibri"/>
        </w:rPr>
        <w:t xml:space="preserve"> Άρα, αντί για </w:t>
      </w:r>
      <w:r w:rsidR="00271E8A">
        <w:rPr>
          <w:rFonts w:ascii="Calibri" w:hAnsi="Calibri"/>
        </w:rPr>
        <w:t xml:space="preserve">επίτευξη </w:t>
      </w:r>
      <w:r w:rsidR="0000617D">
        <w:rPr>
          <w:rFonts w:ascii="Calibri" w:hAnsi="Calibri"/>
        </w:rPr>
        <w:t>«περιφερειακή</w:t>
      </w:r>
      <w:r w:rsidR="00271E8A">
        <w:rPr>
          <w:rFonts w:ascii="Calibri" w:hAnsi="Calibri"/>
        </w:rPr>
        <w:t>ς</w:t>
      </w:r>
      <w:r w:rsidR="0000617D">
        <w:rPr>
          <w:rFonts w:ascii="Calibri" w:hAnsi="Calibri"/>
        </w:rPr>
        <w:t xml:space="preserve"> σύγκλιση</w:t>
      </w:r>
      <w:r w:rsidR="00271E8A">
        <w:rPr>
          <w:rFonts w:ascii="Calibri" w:hAnsi="Calibri"/>
        </w:rPr>
        <w:t>ς</w:t>
      </w:r>
      <w:r w:rsidR="0000617D">
        <w:rPr>
          <w:rFonts w:ascii="Calibri" w:hAnsi="Calibri"/>
        </w:rPr>
        <w:t xml:space="preserve">» διαπιστώνεται «περιφερειακή απόκλιση», αφού οι περιφερειακές ανισότητες </w:t>
      </w:r>
      <w:r w:rsidR="00591317">
        <w:rPr>
          <w:rFonts w:ascii="Calibri" w:hAnsi="Calibri"/>
        </w:rPr>
        <w:t>δια</w:t>
      </w:r>
      <w:r w:rsidR="00271E8A">
        <w:rPr>
          <w:rFonts w:ascii="Calibri" w:hAnsi="Calibri"/>
        </w:rPr>
        <w:t>χρονικά</w:t>
      </w:r>
      <w:r w:rsidR="00591317">
        <w:rPr>
          <w:rFonts w:ascii="Calibri" w:hAnsi="Calibri"/>
        </w:rPr>
        <w:t xml:space="preserve"> </w:t>
      </w:r>
      <w:r w:rsidR="0000617D">
        <w:rPr>
          <w:rFonts w:ascii="Calibri" w:hAnsi="Calibri"/>
        </w:rPr>
        <w:t>διευρύνονται.</w:t>
      </w:r>
    </w:p>
    <w:tbl>
      <w:tblPr>
        <w:tblStyle w:val="a7"/>
        <w:tblW w:w="0" w:type="auto"/>
        <w:tblLook w:val="04A0" w:firstRow="1" w:lastRow="0" w:firstColumn="1" w:lastColumn="0" w:noHBand="0" w:noVBand="1"/>
      </w:tblPr>
      <w:tblGrid>
        <w:gridCol w:w="4530"/>
        <w:gridCol w:w="4530"/>
      </w:tblGrid>
      <w:tr w:rsidR="005C5216" w:rsidRPr="00D9320A" w:rsidTr="0047077F">
        <w:tc>
          <w:tcPr>
            <w:tcW w:w="9060" w:type="dxa"/>
            <w:gridSpan w:val="2"/>
            <w:shd w:val="clear" w:color="auto" w:fill="FFE599" w:themeFill="accent4" w:themeFillTint="66"/>
            <w:vAlign w:val="center"/>
          </w:tcPr>
          <w:p w:rsidR="005C5216" w:rsidRPr="00D9320A" w:rsidRDefault="005C5216" w:rsidP="005C5216">
            <w:pPr>
              <w:spacing w:before="120" w:after="120"/>
              <w:jc w:val="center"/>
              <w:rPr>
                <w:rFonts w:ascii="Calibri" w:hAnsi="Calibri"/>
                <w:b/>
                <w:sz w:val="28"/>
              </w:rPr>
            </w:pPr>
            <w:r w:rsidRPr="00D9320A">
              <w:rPr>
                <w:rFonts w:ascii="Calibri" w:hAnsi="Calibri"/>
                <w:b/>
                <w:sz w:val="28"/>
              </w:rPr>
              <w:t>ΑΕΠ</w:t>
            </w:r>
            <w:r w:rsidR="00121E42" w:rsidRPr="00D9320A">
              <w:rPr>
                <w:rFonts w:ascii="Calibri" w:hAnsi="Calibri"/>
                <w:b/>
                <w:sz w:val="28"/>
              </w:rPr>
              <w:t xml:space="preserve"> </w:t>
            </w:r>
            <w:r w:rsidR="00121E42" w:rsidRPr="00D9320A">
              <w:rPr>
                <w:rFonts w:ascii="Calibri" w:hAnsi="Calibri"/>
                <w:sz w:val="28"/>
              </w:rPr>
              <w:t>(Γράφημα 1)</w:t>
            </w:r>
          </w:p>
        </w:tc>
      </w:tr>
      <w:tr w:rsidR="005C5216" w:rsidRPr="00D9320A" w:rsidTr="005C5216">
        <w:tc>
          <w:tcPr>
            <w:tcW w:w="4530" w:type="dxa"/>
            <w:vAlign w:val="center"/>
          </w:tcPr>
          <w:p w:rsidR="005C5216" w:rsidRPr="00D9320A" w:rsidRDefault="005C5216" w:rsidP="0047077F">
            <w:pPr>
              <w:spacing w:before="120" w:after="120"/>
              <w:jc w:val="center"/>
              <w:rPr>
                <w:rFonts w:ascii="Calibri" w:hAnsi="Calibri"/>
                <w:sz w:val="20"/>
              </w:rPr>
            </w:pPr>
            <w:r w:rsidRPr="00D9320A">
              <w:rPr>
                <w:rFonts w:ascii="Calibri" w:hAnsi="Calibri"/>
                <w:sz w:val="20"/>
              </w:rPr>
              <w:t xml:space="preserve">10 από τις 13 περιφέρειες εισφέρουν </w:t>
            </w:r>
            <w:r w:rsidR="0047077F" w:rsidRPr="00D9320A">
              <w:rPr>
                <w:rFonts w:ascii="Calibri" w:hAnsi="Calibri"/>
                <w:sz w:val="20"/>
              </w:rPr>
              <w:t xml:space="preserve">πλέον έως και κατά 17% </w:t>
            </w:r>
            <w:r w:rsidRPr="00D9320A">
              <w:rPr>
                <w:rFonts w:ascii="Calibri" w:hAnsi="Calibri"/>
                <w:sz w:val="20"/>
              </w:rPr>
              <w:t xml:space="preserve">λιγότερο </w:t>
            </w:r>
            <w:r w:rsidR="0047077F" w:rsidRPr="00D9320A">
              <w:rPr>
                <w:rFonts w:ascii="Calibri" w:hAnsi="Calibri"/>
                <w:sz w:val="20"/>
              </w:rPr>
              <w:t>στο σχηματισμό του εθνικού ΑΕΠ</w:t>
            </w:r>
            <w:r w:rsidR="0047077F" w:rsidRPr="00D9320A">
              <w:rPr>
                <w:sz w:val="20"/>
              </w:rPr>
              <w:t xml:space="preserve"> </w:t>
            </w:r>
            <w:r w:rsidRPr="00D9320A">
              <w:rPr>
                <w:rFonts w:ascii="Calibri" w:hAnsi="Calibri"/>
                <w:sz w:val="20"/>
              </w:rPr>
              <w:t>το 2016 σε σχέση με το 2000</w:t>
            </w:r>
          </w:p>
        </w:tc>
        <w:tc>
          <w:tcPr>
            <w:tcW w:w="4530" w:type="dxa"/>
            <w:vAlign w:val="center"/>
          </w:tcPr>
          <w:p w:rsidR="005C5216" w:rsidRPr="00D9320A" w:rsidRDefault="005C5216" w:rsidP="004E0A06">
            <w:pPr>
              <w:spacing w:before="120" w:after="120"/>
              <w:jc w:val="center"/>
              <w:rPr>
                <w:rFonts w:ascii="Calibri" w:hAnsi="Calibri"/>
                <w:sz w:val="20"/>
              </w:rPr>
            </w:pPr>
            <w:r w:rsidRPr="00D9320A">
              <w:rPr>
                <w:rFonts w:ascii="Calibri" w:hAnsi="Calibri"/>
                <w:sz w:val="20"/>
              </w:rPr>
              <w:t>η Αττική αυξάνει τη συνεισφορά της στο σχηματισμό του εθνικού ΑΕΠ κατά 5,5%</w:t>
            </w:r>
          </w:p>
        </w:tc>
      </w:tr>
      <w:tr w:rsidR="005C5216" w:rsidRPr="00D9320A" w:rsidTr="0047077F">
        <w:tc>
          <w:tcPr>
            <w:tcW w:w="9060" w:type="dxa"/>
            <w:gridSpan w:val="2"/>
            <w:shd w:val="clear" w:color="auto" w:fill="B4C6E7" w:themeFill="accent5" w:themeFillTint="66"/>
            <w:vAlign w:val="center"/>
          </w:tcPr>
          <w:p w:rsidR="005C5216" w:rsidRPr="00D9320A" w:rsidRDefault="005C5216" w:rsidP="00121E42">
            <w:pPr>
              <w:spacing w:before="120" w:after="120"/>
              <w:jc w:val="center"/>
              <w:rPr>
                <w:rFonts w:ascii="Calibri" w:hAnsi="Calibri"/>
                <w:b/>
                <w:sz w:val="28"/>
                <w:szCs w:val="28"/>
              </w:rPr>
            </w:pPr>
            <w:r w:rsidRPr="00D9320A">
              <w:rPr>
                <w:rFonts w:ascii="Calibri" w:hAnsi="Calibri"/>
                <w:b/>
                <w:sz w:val="28"/>
                <w:szCs w:val="28"/>
              </w:rPr>
              <w:t>ΑΕΠ των 12 περιφερειών σε σχέση με την Αττική</w:t>
            </w:r>
            <w:r w:rsidR="00121E42" w:rsidRPr="00D9320A">
              <w:rPr>
                <w:rFonts w:ascii="Calibri" w:hAnsi="Calibri"/>
                <w:b/>
                <w:sz w:val="28"/>
                <w:szCs w:val="28"/>
              </w:rPr>
              <w:t xml:space="preserve"> </w:t>
            </w:r>
            <w:r w:rsidR="00121E42" w:rsidRPr="00D9320A">
              <w:rPr>
                <w:rFonts w:ascii="Calibri" w:hAnsi="Calibri"/>
                <w:sz w:val="28"/>
                <w:szCs w:val="28"/>
              </w:rPr>
              <w:t>(Πίνακας 1)</w:t>
            </w:r>
          </w:p>
        </w:tc>
      </w:tr>
      <w:tr w:rsidR="005C5216" w:rsidRPr="00D9320A" w:rsidTr="00F43CFD">
        <w:tc>
          <w:tcPr>
            <w:tcW w:w="9060" w:type="dxa"/>
            <w:gridSpan w:val="2"/>
            <w:vAlign w:val="center"/>
          </w:tcPr>
          <w:p w:rsidR="005C5216" w:rsidRPr="00D9320A" w:rsidRDefault="005C5216" w:rsidP="004E0A06">
            <w:pPr>
              <w:pStyle w:val="a8"/>
              <w:spacing w:before="120" w:after="120"/>
              <w:ind w:left="29"/>
              <w:jc w:val="center"/>
              <w:rPr>
                <w:sz w:val="20"/>
              </w:rPr>
            </w:pPr>
            <w:r w:rsidRPr="00D9320A">
              <w:rPr>
                <w:rFonts w:asciiTheme="minorHAnsi" w:hAnsiTheme="minorHAnsi" w:cstheme="minorHAnsi"/>
                <w:sz w:val="20"/>
              </w:rPr>
              <w:t>όλες οι περιφέρειες μειώνουν τη σχέση του παραγόμενου ΑΕΠ τους σε σχέση με το ΑΕΠ της Αττικής</w:t>
            </w:r>
          </w:p>
        </w:tc>
      </w:tr>
      <w:tr w:rsidR="005C5216" w:rsidRPr="00D9320A" w:rsidTr="0047077F">
        <w:tc>
          <w:tcPr>
            <w:tcW w:w="9060" w:type="dxa"/>
            <w:gridSpan w:val="2"/>
            <w:shd w:val="clear" w:color="auto" w:fill="C5E0B3" w:themeFill="accent6" w:themeFillTint="66"/>
            <w:vAlign w:val="center"/>
          </w:tcPr>
          <w:p w:rsidR="005C5216" w:rsidRPr="00D9320A" w:rsidRDefault="005C5216" w:rsidP="00121E42">
            <w:pPr>
              <w:spacing w:before="120" w:after="120"/>
              <w:jc w:val="center"/>
              <w:rPr>
                <w:rFonts w:ascii="Calibri" w:hAnsi="Calibri"/>
                <w:b/>
                <w:sz w:val="28"/>
                <w:szCs w:val="28"/>
              </w:rPr>
            </w:pPr>
            <w:r w:rsidRPr="00D9320A">
              <w:rPr>
                <w:rFonts w:ascii="Calibri" w:hAnsi="Calibri"/>
                <w:b/>
                <w:sz w:val="28"/>
                <w:szCs w:val="28"/>
              </w:rPr>
              <w:t>Κατά κεφαλήν ΑΕΠ σε απόλυτους αριθμούς</w:t>
            </w:r>
            <w:r w:rsidR="00121E42" w:rsidRPr="00D9320A">
              <w:rPr>
                <w:rFonts w:ascii="Calibri" w:hAnsi="Calibri"/>
                <w:b/>
                <w:sz w:val="28"/>
                <w:szCs w:val="28"/>
              </w:rPr>
              <w:t xml:space="preserve"> </w:t>
            </w:r>
            <w:r w:rsidR="00121E42" w:rsidRPr="00D9320A">
              <w:rPr>
                <w:rFonts w:ascii="Calibri" w:hAnsi="Calibri"/>
                <w:sz w:val="28"/>
                <w:szCs w:val="28"/>
              </w:rPr>
              <w:t>(Πίνακας 2)</w:t>
            </w:r>
          </w:p>
        </w:tc>
      </w:tr>
      <w:tr w:rsidR="005C5216" w:rsidRPr="00D9320A" w:rsidTr="005C5216">
        <w:tc>
          <w:tcPr>
            <w:tcW w:w="4530" w:type="dxa"/>
            <w:vAlign w:val="center"/>
          </w:tcPr>
          <w:p w:rsidR="005C5216" w:rsidRPr="00D9320A" w:rsidRDefault="005C5216" w:rsidP="0047077F">
            <w:pPr>
              <w:spacing w:before="120" w:after="120"/>
              <w:jc w:val="center"/>
              <w:rPr>
                <w:rFonts w:ascii="Calibri" w:hAnsi="Calibri"/>
                <w:sz w:val="20"/>
              </w:rPr>
            </w:pPr>
            <w:r w:rsidRPr="00D9320A">
              <w:rPr>
                <w:rFonts w:asciiTheme="minorHAnsi" w:hAnsiTheme="minorHAnsi" w:cstheme="minorHAnsi"/>
                <w:sz w:val="20"/>
              </w:rPr>
              <w:t>η Αττική το 2000 είχε υψηλότερο κατά κεφαλήν ΑΕΠ από την Κεντρική Μακεδονία κατά 5.800€, ενώ το 2016 υψηλότερο κατά 9.400€</w:t>
            </w:r>
          </w:p>
        </w:tc>
        <w:tc>
          <w:tcPr>
            <w:tcW w:w="4530" w:type="dxa"/>
            <w:vAlign w:val="center"/>
          </w:tcPr>
          <w:p w:rsidR="005C5216" w:rsidRPr="00D9320A" w:rsidRDefault="005C5216" w:rsidP="005C5216">
            <w:pPr>
              <w:spacing w:before="120" w:after="120"/>
              <w:jc w:val="center"/>
              <w:rPr>
                <w:rFonts w:ascii="Calibri" w:hAnsi="Calibri"/>
                <w:sz w:val="20"/>
              </w:rPr>
            </w:pPr>
            <w:r w:rsidRPr="00D9320A">
              <w:rPr>
                <w:rFonts w:asciiTheme="minorHAnsi" w:hAnsiTheme="minorHAnsi" w:cstheme="minorHAnsi"/>
                <w:sz w:val="20"/>
              </w:rPr>
              <w:t>η αύξηση του ΑΕΠ της Αττικής μεταξύ του 2000 και του 2016 ξεπερνά το 32%</w:t>
            </w:r>
          </w:p>
        </w:tc>
      </w:tr>
      <w:tr w:rsidR="005C5216" w:rsidRPr="00D9320A" w:rsidTr="0047077F">
        <w:tc>
          <w:tcPr>
            <w:tcW w:w="9060" w:type="dxa"/>
            <w:gridSpan w:val="2"/>
            <w:shd w:val="clear" w:color="auto" w:fill="F7CAAC" w:themeFill="accent2" w:themeFillTint="66"/>
            <w:vAlign w:val="center"/>
          </w:tcPr>
          <w:p w:rsidR="005C5216" w:rsidRPr="00D9320A" w:rsidRDefault="005C5216" w:rsidP="00121E42">
            <w:pPr>
              <w:spacing w:before="120" w:after="120"/>
              <w:jc w:val="center"/>
              <w:rPr>
                <w:rFonts w:ascii="Calibri" w:hAnsi="Calibri"/>
                <w:b/>
                <w:sz w:val="28"/>
                <w:szCs w:val="28"/>
              </w:rPr>
            </w:pPr>
            <w:r w:rsidRPr="00D9320A">
              <w:rPr>
                <w:rFonts w:ascii="Calibri" w:hAnsi="Calibri"/>
                <w:b/>
                <w:sz w:val="28"/>
                <w:szCs w:val="28"/>
              </w:rPr>
              <w:t>Κατά κεφαλήν ΑΕΠ σε σχέση με τον εθνικό μέσον όρο</w:t>
            </w:r>
            <w:r w:rsidR="00121E42" w:rsidRPr="00D9320A">
              <w:rPr>
                <w:rFonts w:ascii="Calibri" w:hAnsi="Calibri"/>
                <w:b/>
                <w:sz w:val="28"/>
                <w:szCs w:val="28"/>
              </w:rPr>
              <w:t xml:space="preserve"> </w:t>
            </w:r>
            <w:r w:rsidR="00121E42" w:rsidRPr="00D9320A">
              <w:rPr>
                <w:rFonts w:ascii="Calibri" w:hAnsi="Calibri"/>
                <w:sz w:val="28"/>
                <w:szCs w:val="28"/>
              </w:rPr>
              <w:t>(Πίνακας 3)</w:t>
            </w:r>
          </w:p>
        </w:tc>
      </w:tr>
      <w:tr w:rsidR="005C5216" w:rsidRPr="00D9320A" w:rsidTr="005C5216">
        <w:tc>
          <w:tcPr>
            <w:tcW w:w="4530" w:type="dxa"/>
            <w:vAlign w:val="center"/>
          </w:tcPr>
          <w:p w:rsidR="005C5216" w:rsidRPr="00D9320A" w:rsidRDefault="005C5216" w:rsidP="005C5216">
            <w:pPr>
              <w:spacing w:before="120" w:after="120"/>
              <w:jc w:val="center"/>
              <w:rPr>
                <w:rFonts w:ascii="Calibri" w:hAnsi="Calibri"/>
                <w:sz w:val="20"/>
              </w:rPr>
            </w:pPr>
            <w:r w:rsidRPr="00D9320A">
              <w:rPr>
                <w:rFonts w:asciiTheme="minorHAnsi" w:hAnsiTheme="minorHAnsi" w:cstheme="minorHAnsi"/>
                <w:sz w:val="20"/>
              </w:rPr>
              <w:t>επτά από τις δεκατρείς περιφέρειες υπολείπονται του εθνικού μέσου όρου από 17,5% έως και 5%</w:t>
            </w:r>
          </w:p>
        </w:tc>
        <w:tc>
          <w:tcPr>
            <w:tcW w:w="4530" w:type="dxa"/>
            <w:vAlign w:val="center"/>
          </w:tcPr>
          <w:p w:rsidR="005C5216" w:rsidRPr="00D9320A" w:rsidRDefault="005C5216" w:rsidP="005C5216">
            <w:pPr>
              <w:spacing w:before="120" w:after="120"/>
              <w:jc w:val="center"/>
              <w:rPr>
                <w:rFonts w:ascii="Calibri" w:hAnsi="Calibri"/>
                <w:sz w:val="20"/>
              </w:rPr>
            </w:pPr>
            <w:r w:rsidRPr="00D9320A">
              <w:rPr>
                <w:rFonts w:asciiTheme="minorHAnsi" w:hAnsiTheme="minorHAnsi" w:cstheme="minorHAnsi"/>
                <w:sz w:val="20"/>
              </w:rPr>
              <w:t>μοναδική Περιφέρεια που ξεπερνά τον μέσον όρο είναι η Αττική κατά 7,83%.</w:t>
            </w:r>
          </w:p>
        </w:tc>
      </w:tr>
      <w:tr w:rsidR="0047077F" w:rsidRPr="00D9320A" w:rsidTr="0047077F">
        <w:tc>
          <w:tcPr>
            <w:tcW w:w="9060" w:type="dxa"/>
            <w:gridSpan w:val="2"/>
            <w:shd w:val="clear" w:color="auto" w:fill="ACB9CA" w:themeFill="text2" w:themeFillTint="66"/>
            <w:vAlign w:val="center"/>
          </w:tcPr>
          <w:p w:rsidR="0047077F" w:rsidRPr="00D9320A" w:rsidRDefault="0047077F" w:rsidP="00121E42">
            <w:pPr>
              <w:spacing w:before="120" w:after="120"/>
              <w:jc w:val="center"/>
              <w:rPr>
                <w:rFonts w:ascii="Calibri" w:hAnsi="Calibri"/>
                <w:b/>
                <w:sz w:val="28"/>
                <w:szCs w:val="28"/>
              </w:rPr>
            </w:pPr>
            <w:r w:rsidRPr="00D9320A">
              <w:rPr>
                <w:rFonts w:ascii="Calibri" w:hAnsi="Calibri"/>
                <w:b/>
                <w:sz w:val="28"/>
                <w:szCs w:val="28"/>
              </w:rPr>
              <w:t>Συνεισφορά στην απασχόληση</w:t>
            </w:r>
            <w:r w:rsidR="004E0A06">
              <w:rPr>
                <w:rFonts w:ascii="Calibri" w:hAnsi="Calibri"/>
                <w:b/>
                <w:sz w:val="28"/>
                <w:szCs w:val="28"/>
              </w:rPr>
              <w:t xml:space="preserve"> </w:t>
            </w:r>
            <w:r w:rsidR="00121E42" w:rsidRPr="00D9320A">
              <w:rPr>
                <w:rFonts w:ascii="Calibri" w:hAnsi="Calibri"/>
                <w:sz w:val="28"/>
                <w:szCs w:val="28"/>
              </w:rPr>
              <w:t>(Γράφημα 2)</w:t>
            </w:r>
          </w:p>
        </w:tc>
      </w:tr>
      <w:tr w:rsidR="005C5216" w:rsidRPr="00D9320A" w:rsidTr="005C5216">
        <w:tc>
          <w:tcPr>
            <w:tcW w:w="4530" w:type="dxa"/>
            <w:vAlign w:val="center"/>
          </w:tcPr>
          <w:p w:rsidR="005C5216" w:rsidRPr="00D9320A" w:rsidRDefault="0047077F" w:rsidP="0047077F">
            <w:pPr>
              <w:spacing w:before="120" w:after="120"/>
              <w:jc w:val="center"/>
              <w:rPr>
                <w:rFonts w:ascii="Calibri" w:hAnsi="Calibri"/>
                <w:sz w:val="20"/>
              </w:rPr>
            </w:pPr>
            <w:r w:rsidRPr="00D9320A">
              <w:rPr>
                <w:rFonts w:asciiTheme="minorHAnsi" w:hAnsiTheme="minorHAnsi" w:cstheme="minorHAnsi"/>
                <w:sz w:val="20"/>
              </w:rPr>
              <w:t>εννιά από τις δεκατρείς περιφέρειες μειώνουν διαχρονικά τη συμμετοχή τους στην εθνική απασχόληση, σε ποσοστό μέχρι και -9,85%</w:t>
            </w:r>
          </w:p>
        </w:tc>
        <w:tc>
          <w:tcPr>
            <w:tcW w:w="4530" w:type="dxa"/>
            <w:vAlign w:val="center"/>
          </w:tcPr>
          <w:p w:rsidR="005C5216" w:rsidRPr="00D9320A" w:rsidRDefault="0047077F" w:rsidP="005C5216">
            <w:pPr>
              <w:spacing w:before="120" w:after="120"/>
              <w:jc w:val="center"/>
              <w:rPr>
                <w:rFonts w:ascii="Calibri" w:hAnsi="Calibri"/>
                <w:sz w:val="20"/>
              </w:rPr>
            </w:pPr>
            <w:r w:rsidRPr="00D9320A">
              <w:rPr>
                <w:rFonts w:asciiTheme="minorHAnsi" w:hAnsiTheme="minorHAnsi" w:cstheme="minorHAnsi"/>
                <w:sz w:val="20"/>
              </w:rPr>
              <w:t>η Αττική αυξάνει τη συμμετοχή της στο μέγεθος της συνολικής απασχόλησης κατά 3,71%</w:t>
            </w:r>
          </w:p>
        </w:tc>
      </w:tr>
      <w:tr w:rsidR="00121E42" w:rsidRPr="00D9320A" w:rsidTr="00D9320A">
        <w:tc>
          <w:tcPr>
            <w:tcW w:w="9060" w:type="dxa"/>
            <w:gridSpan w:val="2"/>
            <w:shd w:val="clear" w:color="auto" w:fill="C00000"/>
            <w:vAlign w:val="center"/>
          </w:tcPr>
          <w:p w:rsidR="00121E42" w:rsidRPr="00D9320A" w:rsidRDefault="00D9320A" w:rsidP="00D9320A">
            <w:pPr>
              <w:spacing w:before="120" w:after="120"/>
              <w:jc w:val="center"/>
              <w:rPr>
                <w:rFonts w:asciiTheme="minorHAnsi" w:hAnsiTheme="minorHAnsi" w:cstheme="minorHAnsi"/>
                <w:b/>
                <w:sz w:val="28"/>
                <w:szCs w:val="28"/>
              </w:rPr>
            </w:pPr>
            <w:r w:rsidRPr="00D9320A">
              <w:rPr>
                <w:rFonts w:asciiTheme="minorHAnsi" w:hAnsiTheme="minorHAnsi" w:cstheme="minorHAnsi"/>
                <w:b/>
                <w:sz w:val="28"/>
                <w:szCs w:val="28"/>
              </w:rPr>
              <w:t xml:space="preserve">Ποσοστό ανεργίας </w:t>
            </w:r>
            <w:r w:rsidRPr="00D9320A">
              <w:rPr>
                <w:rFonts w:ascii="Calibri" w:hAnsi="Calibri"/>
                <w:sz w:val="28"/>
                <w:szCs w:val="28"/>
              </w:rPr>
              <w:t>(Γράφημα 3)</w:t>
            </w:r>
          </w:p>
        </w:tc>
      </w:tr>
      <w:tr w:rsidR="00121E42" w:rsidRPr="00D9320A" w:rsidTr="004E0A06">
        <w:trPr>
          <w:trHeight w:val="982"/>
        </w:trPr>
        <w:tc>
          <w:tcPr>
            <w:tcW w:w="4530" w:type="dxa"/>
            <w:vAlign w:val="center"/>
          </w:tcPr>
          <w:p w:rsidR="00121E42" w:rsidRPr="00D9320A" w:rsidRDefault="00D9320A" w:rsidP="00D9320A">
            <w:pPr>
              <w:spacing w:before="120" w:after="120"/>
              <w:jc w:val="center"/>
              <w:rPr>
                <w:rFonts w:asciiTheme="minorHAnsi" w:hAnsiTheme="minorHAnsi" w:cstheme="minorHAnsi"/>
                <w:sz w:val="20"/>
              </w:rPr>
            </w:pPr>
            <w:r>
              <w:rPr>
                <w:rFonts w:asciiTheme="minorHAnsi" w:hAnsiTheme="minorHAnsi" w:cstheme="minorHAnsi"/>
                <w:sz w:val="20"/>
              </w:rPr>
              <w:t>οκτώ</w:t>
            </w:r>
            <w:r w:rsidRPr="00D9320A">
              <w:rPr>
                <w:rFonts w:asciiTheme="minorHAnsi" w:hAnsiTheme="minorHAnsi" w:cstheme="minorHAnsi"/>
                <w:sz w:val="20"/>
              </w:rPr>
              <w:t xml:space="preserve"> περιφέρειες καταγράφουν αύξηση της ανεργίας σε ποσοστό μεγαλύτερο του 100%, με «αρνητικές πρωταθλήτριες» τις περιφέρειες: Κρήτης: + 209%</w:t>
            </w:r>
            <w:r>
              <w:rPr>
                <w:rFonts w:asciiTheme="minorHAnsi" w:hAnsiTheme="minorHAnsi" w:cstheme="minorHAnsi"/>
                <w:sz w:val="20"/>
              </w:rPr>
              <w:t xml:space="preserve"> και </w:t>
            </w:r>
            <w:r w:rsidRPr="00D9320A">
              <w:rPr>
                <w:rFonts w:asciiTheme="minorHAnsi" w:hAnsiTheme="minorHAnsi" w:cstheme="minorHAnsi"/>
                <w:sz w:val="20"/>
              </w:rPr>
              <w:t>Ιονίων Νήσων: + 185%</w:t>
            </w:r>
          </w:p>
        </w:tc>
        <w:tc>
          <w:tcPr>
            <w:tcW w:w="4530" w:type="dxa"/>
            <w:vAlign w:val="center"/>
          </w:tcPr>
          <w:p w:rsidR="00121E42" w:rsidRPr="00D9320A" w:rsidRDefault="00D9320A" w:rsidP="00D9320A">
            <w:pPr>
              <w:spacing w:before="120" w:after="120"/>
              <w:jc w:val="center"/>
              <w:rPr>
                <w:rFonts w:asciiTheme="minorHAnsi" w:hAnsiTheme="minorHAnsi" w:cstheme="minorHAnsi"/>
                <w:sz w:val="20"/>
              </w:rPr>
            </w:pPr>
            <w:r w:rsidRPr="00D9320A">
              <w:rPr>
                <w:rFonts w:asciiTheme="minorHAnsi" w:hAnsiTheme="minorHAnsi" w:cstheme="minorHAnsi"/>
                <w:sz w:val="20"/>
              </w:rPr>
              <w:t>η Αττική</w:t>
            </w:r>
            <w:r>
              <w:rPr>
                <w:rFonts w:asciiTheme="minorHAnsi" w:hAnsiTheme="minorHAnsi" w:cstheme="minorHAnsi"/>
                <w:sz w:val="20"/>
              </w:rPr>
              <w:t xml:space="preserve">, </w:t>
            </w:r>
            <w:r w:rsidRPr="00D9320A">
              <w:rPr>
                <w:rFonts w:asciiTheme="minorHAnsi" w:hAnsiTheme="minorHAnsi" w:cstheme="minorHAnsi"/>
                <w:sz w:val="20"/>
              </w:rPr>
              <w:t>το Νότιο Αιγαίο, η Στερεά Ελλάδα</w:t>
            </w:r>
            <w:r>
              <w:rPr>
                <w:rFonts w:asciiTheme="minorHAnsi" w:hAnsiTheme="minorHAnsi" w:cstheme="minorHAnsi"/>
                <w:sz w:val="20"/>
              </w:rPr>
              <w:t xml:space="preserve">, </w:t>
            </w:r>
            <w:r w:rsidRPr="00D9320A">
              <w:rPr>
                <w:rFonts w:asciiTheme="minorHAnsi" w:hAnsiTheme="minorHAnsi" w:cstheme="minorHAnsi"/>
                <w:sz w:val="20"/>
              </w:rPr>
              <w:t>η</w:t>
            </w:r>
            <w:r>
              <w:rPr>
                <w:rFonts w:asciiTheme="minorHAnsi" w:hAnsiTheme="minorHAnsi" w:cstheme="minorHAnsi"/>
                <w:sz w:val="20"/>
              </w:rPr>
              <w:t xml:space="preserve"> </w:t>
            </w:r>
            <w:r w:rsidRPr="00D9320A">
              <w:rPr>
                <w:rFonts w:asciiTheme="minorHAnsi" w:hAnsiTheme="minorHAnsi" w:cstheme="minorHAnsi"/>
                <w:sz w:val="20"/>
              </w:rPr>
              <w:t>Θεσσαλία</w:t>
            </w:r>
            <w:r>
              <w:rPr>
                <w:rFonts w:asciiTheme="minorHAnsi" w:hAnsiTheme="minorHAnsi" w:cstheme="minorHAnsi"/>
                <w:sz w:val="20"/>
              </w:rPr>
              <w:t xml:space="preserve"> και η Πελοπόννησος</w:t>
            </w:r>
            <w:r w:rsidRPr="00D9320A">
              <w:rPr>
                <w:rFonts w:asciiTheme="minorHAnsi" w:hAnsiTheme="minorHAnsi" w:cstheme="minorHAnsi"/>
                <w:sz w:val="20"/>
              </w:rPr>
              <w:t xml:space="preserve">, σημειώνουν ποσοστό αύξησης της ανεργίας </w:t>
            </w:r>
            <w:r>
              <w:rPr>
                <w:rFonts w:asciiTheme="minorHAnsi" w:hAnsiTheme="minorHAnsi" w:cstheme="minorHAnsi"/>
                <w:sz w:val="20"/>
              </w:rPr>
              <w:t>μικρότερο του 100%</w:t>
            </w:r>
          </w:p>
        </w:tc>
      </w:tr>
    </w:tbl>
    <w:p w:rsidR="004E0A06" w:rsidRDefault="004E0A06">
      <w:pPr>
        <w:rPr>
          <w:rFonts w:asciiTheme="minorHAnsi" w:eastAsia="Calibri" w:hAnsiTheme="minorHAnsi" w:cstheme="minorHAnsi"/>
          <w:b/>
          <w:color w:val="1F3864"/>
          <w:sz w:val="28"/>
          <w:szCs w:val="32"/>
        </w:rPr>
      </w:pPr>
      <w:r>
        <w:rPr>
          <w:rFonts w:asciiTheme="minorHAnsi" w:eastAsia="Calibri" w:hAnsiTheme="minorHAnsi" w:cstheme="minorHAnsi"/>
          <w:b/>
          <w:color w:val="1F3864"/>
          <w:sz w:val="28"/>
          <w:szCs w:val="32"/>
        </w:rPr>
        <w:br w:type="page"/>
      </w:r>
    </w:p>
    <w:p w:rsidR="00D17779" w:rsidRPr="00D17779" w:rsidRDefault="00D17779" w:rsidP="00D17779">
      <w:pPr>
        <w:jc w:val="both"/>
        <w:rPr>
          <w:rFonts w:asciiTheme="minorHAnsi" w:eastAsia="Calibri" w:hAnsiTheme="minorHAnsi" w:cstheme="minorHAnsi"/>
          <w:b/>
          <w:color w:val="1F3864"/>
          <w:sz w:val="28"/>
          <w:szCs w:val="32"/>
        </w:rPr>
      </w:pPr>
      <w:r w:rsidRPr="00D17779">
        <w:rPr>
          <w:rFonts w:asciiTheme="minorHAnsi" w:eastAsia="Calibri" w:hAnsiTheme="minorHAnsi" w:cstheme="minorHAnsi"/>
          <w:b/>
          <w:color w:val="1F3864"/>
          <w:sz w:val="28"/>
          <w:szCs w:val="32"/>
        </w:rPr>
        <w:lastRenderedPageBreak/>
        <w:t xml:space="preserve">ΟΙ ΘΕΣΕΙΣ ΚΑΙ ΟΙ </w:t>
      </w:r>
      <w:r>
        <w:rPr>
          <w:rFonts w:asciiTheme="minorHAnsi" w:eastAsia="Calibri" w:hAnsiTheme="minorHAnsi" w:cstheme="minorHAnsi"/>
          <w:b/>
          <w:color w:val="1F3864"/>
          <w:sz w:val="28"/>
          <w:szCs w:val="32"/>
        </w:rPr>
        <w:t>ΠΡΟΤΑΣΕΙΣ ΤΟΥ ΣΒΒΕ ΓΙΑ ΤΗΝ «ΠΕΡΙΦΕΡΕΙΑΚΗ ΣΥΓΚΛΙΣΗ»</w:t>
      </w:r>
    </w:p>
    <w:p w:rsidR="007D4384" w:rsidRPr="007D4384" w:rsidRDefault="00D17779" w:rsidP="006863E5">
      <w:pPr>
        <w:spacing w:before="120" w:after="120"/>
        <w:jc w:val="both"/>
        <w:rPr>
          <w:rFonts w:ascii="Calibri" w:hAnsi="Calibri"/>
        </w:rPr>
      </w:pPr>
      <w:r>
        <w:rPr>
          <w:rFonts w:asciiTheme="minorHAnsi" w:hAnsiTheme="minorHAnsi" w:cstheme="minorHAnsi"/>
        </w:rPr>
        <w:t>Κ</w:t>
      </w:r>
      <w:r w:rsidR="00AE1190">
        <w:rPr>
          <w:rFonts w:asciiTheme="minorHAnsi" w:hAnsiTheme="minorHAnsi" w:cstheme="minorHAnsi"/>
        </w:rPr>
        <w:t>ατά τον ΣΒΒΕ</w:t>
      </w:r>
      <w:r>
        <w:rPr>
          <w:rFonts w:asciiTheme="minorHAnsi" w:hAnsiTheme="minorHAnsi" w:cstheme="minorHAnsi"/>
        </w:rPr>
        <w:t>,</w:t>
      </w:r>
      <w:r w:rsidR="00AE1190">
        <w:rPr>
          <w:rFonts w:asciiTheme="minorHAnsi" w:hAnsiTheme="minorHAnsi" w:cstheme="minorHAnsi"/>
        </w:rPr>
        <w:t xml:space="preserve"> </w:t>
      </w:r>
      <w:r w:rsidR="007D4384" w:rsidRPr="007D4384">
        <w:rPr>
          <w:rFonts w:ascii="Calibri" w:hAnsi="Calibri"/>
        </w:rPr>
        <w:t>η μεγέθυνση του ΑΕΠ της χώρας</w:t>
      </w:r>
      <w:r w:rsidR="00AE1190">
        <w:rPr>
          <w:rFonts w:ascii="Calibri" w:hAnsi="Calibri"/>
        </w:rPr>
        <w:t xml:space="preserve"> τα προηγούμενα δεκαεπτά χρόνια</w:t>
      </w:r>
      <w:r w:rsidR="007D4384" w:rsidRPr="007D4384">
        <w:rPr>
          <w:rFonts w:ascii="Calibri" w:hAnsi="Calibri"/>
        </w:rPr>
        <w:t xml:space="preserve">, δεν είναι </w:t>
      </w:r>
      <w:r w:rsidR="00AE1190">
        <w:rPr>
          <w:rFonts w:ascii="Calibri" w:hAnsi="Calibri"/>
        </w:rPr>
        <w:t>σαφές</w:t>
      </w:r>
      <w:r w:rsidR="00F133E1">
        <w:rPr>
          <w:rFonts w:ascii="Calibri" w:hAnsi="Calibri"/>
        </w:rPr>
        <w:t>,</w:t>
      </w:r>
      <w:r w:rsidR="00AE1190">
        <w:rPr>
          <w:rFonts w:ascii="Calibri" w:hAnsi="Calibri"/>
        </w:rPr>
        <w:t xml:space="preserve"> ούτε τεκμηριωμένο</w:t>
      </w:r>
      <w:r w:rsidR="00F133E1">
        <w:rPr>
          <w:rFonts w:ascii="Calibri" w:hAnsi="Calibri"/>
        </w:rPr>
        <w:t>,</w:t>
      </w:r>
      <w:r w:rsidR="00AE1190">
        <w:rPr>
          <w:rFonts w:ascii="Calibri" w:hAnsi="Calibri"/>
        </w:rPr>
        <w:t xml:space="preserve"> ότι </w:t>
      </w:r>
      <w:r w:rsidR="007D4384" w:rsidRPr="007D4384">
        <w:rPr>
          <w:rFonts w:ascii="Calibri" w:hAnsi="Calibri"/>
        </w:rPr>
        <w:t xml:space="preserve">προήλθε από την επίδραση της </w:t>
      </w:r>
      <w:r w:rsidR="008C34B8">
        <w:rPr>
          <w:rFonts w:ascii="Calibri" w:hAnsi="Calibri"/>
        </w:rPr>
        <w:t xml:space="preserve">άσκησης </w:t>
      </w:r>
      <w:r w:rsidR="007D4384" w:rsidRPr="007D4384">
        <w:rPr>
          <w:rFonts w:ascii="Calibri" w:hAnsi="Calibri"/>
        </w:rPr>
        <w:t xml:space="preserve">περιφερειακής πολιτικής </w:t>
      </w:r>
      <w:r w:rsidR="00AE1190">
        <w:rPr>
          <w:rFonts w:ascii="Calibri" w:hAnsi="Calibri"/>
        </w:rPr>
        <w:t xml:space="preserve">στην ανάπτυξη </w:t>
      </w:r>
      <w:r w:rsidR="007D4384" w:rsidRPr="007D4384">
        <w:rPr>
          <w:rFonts w:ascii="Calibri" w:hAnsi="Calibri"/>
        </w:rPr>
        <w:t>ή από τη δρά</w:t>
      </w:r>
      <w:r w:rsidR="00AE1190">
        <w:rPr>
          <w:rFonts w:ascii="Calibri" w:hAnsi="Calibri"/>
        </w:rPr>
        <w:t xml:space="preserve">ση άλλων - αυτόνομων παραγόντων που </w:t>
      </w:r>
      <w:r w:rsidR="00F133E1">
        <w:rPr>
          <w:rFonts w:ascii="Calibri" w:hAnsi="Calibri"/>
        </w:rPr>
        <w:t xml:space="preserve">οδήγησαν </w:t>
      </w:r>
      <w:r w:rsidR="008C34B8">
        <w:rPr>
          <w:rFonts w:ascii="Calibri" w:hAnsi="Calibri"/>
        </w:rPr>
        <w:t xml:space="preserve">τελικά </w:t>
      </w:r>
      <w:r w:rsidR="00AE1190">
        <w:rPr>
          <w:rFonts w:ascii="Calibri" w:hAnsi="Calibri"/>
        </w:rPr>
        <w:t>στην ανάπτυξη.</w:t>
      </w:r>
      <w:r w:rsidR="00AB31C0">
        <w:rPr>
          <w:rFonts w:ascii="Calibri" w:hAnsi="Calibri"/>
        </w:rPr>
        <w:t xml:space="preserve"> Στο πλαίσιο αυτό, </w:t>
      </w:r>
      <w:r w:rsidR="008C34B8">
        <w:rPr>
          <w:rFonts w:ascii="Calibri" w:hAnsi="Calibri"/>
        </w:rPr>
        <w:t xml:space="preserve">οι θέσεις του ΣΒΒΕ για την «Περιφερειακή Ανάπτυξη», μετά και την </w:t>
      </w:r>
      <w:r w:rsidR="00683048">
        <w:rPr>
          <w:rFonts w:ascii="Calibri" w:hAnsi="Calibri"/>
        </w:rPr>
        <w:t xml:space="preserve">παράθεση και </w:t>
      </w:r>
      <w:r w:rsidR="008C34B8">
        <w:rPr>
          <w:rFonts w:ascii="Calibri" w:hAnsi="Calibri"/>
        </w:rPr>
        <w:t>τ</w:t>
      </w:r>
      <w:r w:rsidR="00683048">
        <w:rPr>
          <w:rFonts w:ascii="Calibri" w:hAnsi="Calibri"/>
        </w:rPr>
        <w:t>ο</w:t>
      </w:r>
      <w:r w:rsidR="008C34B8">
        <w:rPr>
          <w:rFonts w:ascii="Calibri" w:hAnsi="Calibri"/>
        </w:rPr>
        <w:t>ν</w:t>
      </w:r>
      <w:r w:rsidR="00683048">
        <w:rPr>
          <w:rFonts w:ascii="Calibri" w:hAnsi="Calibri"/>
        </w:rPr>
        <w:t xml:space="preserve"> σχολιασμό </w:t>
      </w:r>
      <w:r w:rsidR="007D4384" w:rsidRPr="007D4384">
        <w:rPr>
          <w:rFonts w:ascii="Calibri" w:hAnsi="Calibri"/>
        </w:rPr>
        <w:t xml:space="preserve">των στοιχείων </w:t>
      </w:r>
      <w:r w:rsidR="00683048">
        <w:rPr>
          <w:rFonts w:ascii="Calibri" w:hAnsi="Calibri"/>
        </w:rPr>
        <w:t xml:space="preserve">που παρουσιάστηκαν παραπάνω, </w:t>
      </w:r>
      <w:r w:rsidR="008C34B8">
        <w:rPr>
          <w:rFonts w:ascii="Calibri" w:hAnsi="Calibri"/>
        </w:rPr>
        <w:t>είναι</w:t>
      </w:r>
      <w:r w:rsidR="007D4384" w:rsidRPr="007D4384">
        <w:rPr>
          <w:rFonts w:ascii="Calibri" w:hAnsi="Calibri"/>
        </w:rPr>
        <w:t>:</w:t>
      </w:r>
    </w:p>
    <w:p w:rsidR="00D822F0" w:rsidRPr="00AB31C0" w:rsidRDefault="00A13CA7" w:rsidP="00D70B56">
      <w:pPr>
        <w:pStyle w:val="a8"/>
        <w:numPr>
          <w:ilvl w:val="0"/>
          <w:numId w:val="4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426" w:hanging="426"/>
        <w:jc w:val="both"/>
        <w:rPr>
          <w:b/>
        </w:rPr>
      </w:pPr>
      <w:r w:rsidRPr="00AB31C0">
        <w:rPr>
          <w:b/>
        </w:rPr>
        <w:t>ο στόχος της «περιφερειακής ανάπτυξης» και της «</w:t>
      </w:r>
      <w:r w:rsidR="007D4384" w:rsidRPr="00AB31C0">
        <w:rPr>
          <w:b/>
        </w:rPr>
        <w:t>περιφερειακή</w:t>
      </w:r>
      <w:r w:rsidRPr="00AB31C0">
        <w:rPr>
          <w:b/>
        </w:rPr>
        <w:t xml:space="preserve">ς σύγκλισης» </w:t>
      </w:r>
      <w:r w:rsidR="007D4384" w:rsidRPr="00AB31C0">
        <w:rPr>
          <w:b/>
        </w:rPr>
        <w:t>αποτελεί μονόδρομο για τη</w:t>
      </w:r>
      <w:r w:rsidRPr="00AB31C0">
        <w:rPr>
          <w:b/>
        </w:rPr>
        <w:t xml:space="preserve">ν ανάπτυξη της </w:t>
      </w:r>
      <w:r w:rsidR="007D4384" w:rsidRPr="00AB31C0">
        <w:rPr>
          <w:b/>
        </w:rPr>
        <w:t>χώρα</w:t>
      </w:r>
      <w:r w:rsidRPr="00AB31C0">
        <w:rPr>
          <w:b/>
        </w:rPr>
        <w:t>ς</w:t>
      </w:r>
      <w:r w:rsidR="007D4384" w:rsidRPr="00AB31C0">
        <w:rPr>
          <w:b/>
        </w:rPr>
        <w:t xml:space="preserve"> συνολικά</w:t>
      </w:r>
      <w:r w:rsidR="00683048" w:rsidRPr="00AB31C0">
        <w:rPr>
          <w:b/>
        </w:rPr>
        <w:t>,</w:t>
      </w:r>
    </w:p>
    <w:p w:rsidR="00D822F0" w:rsidRPr="00AB31C0" w:rsidRDefault="00D822F0" w:rsidP="00D70B56">
      <w:pPr>
        <w:pStyle w:val="a8"/>
        <w:numPr>
          <w:ilvl w:val="0"/>
          <w:numId w:val="4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426" w:hanging="426"/>
        <w:jc w:val="both"/>
        <w:rPr>
          <w:b/>
        </w:rPr>
      </w:pPr>
      <w:r w:rsidRPr="00AB31C0">
        <w:rPr>
          <w:b/>
        </w:rPr>
        <w:t xml:space="preserve">ο περιφερειακός αναπτυξιακός σχεδιασμός δεν μπορεί να γίνεται κεντρικά, αλλά </w:t>
      </w:r>
      <w:r w:rsidR="008C34B8" w:rsidRPr="00AB31C0">
        <w:rPr>
          <w:b/>
        </w:rPr>
        <w:t xml:space="preserve">επιβάλλεται να συμβαίνει </w:t>
      </w:r>
      <w:r w:rsidRPr="00AB31C0">
        <w:rPr>
          <w:b/>
        </w:rPr>
        <w:t>αποκεντρωμένα, με τη συμμετοχή όλων των ενδιαφερομένων μερών, χωρίς αποκλεισμούς,</w:t>
      </w:r>
    </w:p>
    <w:p w:rsidR="00D822F0" w:rsidRPr="00AB31C0" w:rsidRDefault="007D4384" w:rsidP="00D70B56">
      <w:pPr>
        <w:pStyle w:val="a8"/>
        <w:numPr>
          <w:ilvl w:val="0"/>
          <w:numId w:val="4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426" w:hanging="426"/>
        <w:jc w:val="both"/>
        <w:rPr>
          <w:b/>
        </w:rPr>
      </w:pPr>
      <w:r w:rsidRPr="00AB31C0">
        <w:rPr>
          <w:b/>
        </w:rPr>
        <w:t xml:space="preserve">τα μέτρα ενίσχυσης της </w:t>
      </w:r>
      <w:r w:rsidR="00A13CA7" w:rsidRPr="00AB31C0">
        <w:rPr>
          <w:b/>
        </w:rPr>
        <w:t xml:space="preserve">ανταγωνιστικότητας καθεμιάς από τις </w:t>
      </w:r>
      <w:r w:rsidRPr="00AB31C0">
        <w:rPr>
          <w:b/>
        </w:rPr>
        <w:t>περιφέρει</w:t>
      </w:r>
      <w:r w:rsidR="00A13CA7" w:rsidRPr="00AB31C0">
        <w:rPr>
          <w:b/>
        </w:rPr>
        <w:t>ε</w:t>
      </w:r>
      <w:r w:rsidRPr="00AB31C0">
        <w:rPr>
          <w:b/>
        </w:rPr>
        <w:t xml:space="preserve">ς είναι ανάγκη να </w:t>
      </w:r>
      <w:r w:rsidR="00D822F0" w:rsidRPr="00AB31C0">
        <w:rPr>
          <w:b/>
        </w:rPr>
        <w:t xml:space="preserve">σχεδιασθούν και να </w:t>
      </w:r>
      <w:r w:rsidRPr="00AB31C0">
        <w:rPr>
          <w:b/>
        </w:rPr>
        <w:t>εφαρμοσθούν άμεσα</w:t>
      </w:r>
      <w:r w:rsidR="00A13CA7" w:rsidRPr="00AB31C0">
        <w:rPr>
          <w:b/>
        </w:rPr>
        <w:t>,</w:t>
      </w:r>
      <w:r w:rsidRPr="00AB31C0">
        <w:rPr>
          <w:b/>
        </w:rPr>
        <w:t xml:space="preserve"> με μακροπρόθεσμο </w:t>
      </w:r>
      <w:r w:rsidR="00A13CA7" w:rsidRPr="00AB31C0">
        <w:rPr>
          <w:b/>
        </w:rPr>
        <w:t xml:space="preserve">όμως αναπτυξιακό </w:t>
      </w:r>
      <w:r w:rsidRPr="00AB31C0">
        <w:rPr>
          <w:b/>
        </w:rPr>
        <w:t>σχεδιασμό και μετρήσιμα αποτελέσματα,</w:t>
      </w:r>
      <w:r w:rsidR="00683048" w:rsidRPr="00AB31C0">
        <w:rPr>
          <w:b/>
        </w:rPr>
        <w:t xml:space="preserve"> και,</w:t>
      </w:r>
    </w:p>
    <w:p w:rsidR="00A13CA7" w:rsidRPr="00AB31C0" w:rsidRDefault="007D4384" w:rsidP="00D70B56">
      <w:pPr>
        <w:pStyle w:val="a8"/>
        <w:numPr>
          <w:ilvl w:val="0"/>
          <w:numId w:val="42"/>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426" w:hanging="426"/>
        <w:jc w:val="both"/>
        <w:rPr>
          <w:b/>
        </w:rPr>
      </w:pPr>
      <w:r w:rsidRPr="00AB31C0">
        <w:rPr>
          <w:b/>
        </w:rPr>
        <w:t xml:space="preserve">η πραγματική διάσταση των περιφερειακών ανισοτήτων είναι </w:t>
      </w:r>
      <w:r w:rsidR="00727DF7" w:rsidRPr="00AB31C0">
        <w:rPr>
          <w:b/>
        </w:rPr>
        <w:t>περισσότερο δυσμενής α</w:t>
      </w:r>
      <w:r w:rsidRPr="00AB31C0">
        <w:rPr>
          <w:b/>
        </w:rPr>
        <w:t xml:space="preserve">πό αυτή που </w:t>
      </w:r>
      <w:r w:rsidR="00A13CA7" w:rsidRPr="00AB31C0">
        <w:rPr>
          <w:b/>
        </w:rPr>
        <w:t xml:space="preserve">αποτυπώνεται από τα επίσημα στοιχεία, κυρίως στο κοινωνικό πεδίο, και με κριτήρια αναπτυξιακής προοπτικής. </w:t>
      </w:r>
    </w:p>
    <w:p w:rsidR="004E0A06" w:rsidRDefault="004E0A06" w:rsidP="006863E5">
      <w:pPr>
        <w:spacing w:before="120" w:after="120"/>
        <w:jc w:val="both"/>
        <w:rPr>
          <w:rFonts w:ascii="Calibri" w:hAnsi="Calibri"/>
        </w:rPr>
      </w:pPr>
    </w:p>
    <w:p w:rsidR="006863E5" w:rsidRDefault="00683048" w:rsidP="006863E5">
      <w:pPr>
        <w:spacing w:before="120" w:after="120"/>
        <w:jc w:val="both"/>
        <w:rPr>
          <w:rFonts w:ascii="Calibri" w:hAnsi="Calibri"/>
          <w:lang w:val="es-ES"/>
        </w:rPr>
      </w:pPr>
      <w:r>
        <w:rPr>
          <w:rFonts w:ascii="Calibri" w:hAnsi="Calibri"/>
        </w:rPr>
        <w:t>Ως εκ των παραπάνω, για την άμβλυνση των περιφερειακών ανισοτήτων και την περιφερειακή σύγκλιση, ο ΣΒΒΕ προτ</w:t>
      </w:r>
      <w:r w:rsidR="00B46BF7">
        <w:rPr>
          <w:rFonts w:ascii="Calibri" w:hAnsi="Calibri"/>
        </w:rPr>
        <w:t xml:space="preserve">είνει να ισχύσουν οι ακόλουθες </w:t>
      </w:r>
      <w:r>
        <w:rPr>
          <w:rFonts w:ascii="Calibri" w:hAnsi="Calibri"/>
        </w:rPr>
        <w:t>κατευθύνσεις - ε</w:t>
      </w:r>
      <w:r w:rsidR="006863E5" w:rsidRPr="006863E5">
        <w:rPr>
          <w:rFonts w:ascii="Calibri" w:hAnsi="Calibri"/>
          <w:lang w:val="es-ES"/>
        </w:rPr>
        <w:t>πιδιώξεις της περιφερειακής ανάπτυξης</w:t>
      </w:r>
      <w:r>
        <w:rPr>
          <w:rFonts w:ascii="Calibri" w:hAnsi="Calibri"/>
        </w:rPr>
        <w:t xml:space="preserve"> από τώρα και στο εξής</w:t>
      </w:r>
      <w:r w:rsidR="006863E5" w:rsidRPr="006863E5">
        <w:rPr>
          <w:rFonts w:ascii="Calibri" w:hAnsi="Calibri"/>
          <w:lang w:val="es-ES"/>
        </w:rPr>
        <w:t>:</w:t>
      </w:r>
    </w:p>
    <w:p w:rsidR="00A13CA7" w:rsidRPr="00B46BF7" w:rsidRDefault="00B46BF7" w:rsidP="00D70B56">
      <w:pPr>
        <w:pStyle w:val="a8"/>
        <w:numPr>
          <w:ilvl w:val="0"/>
          <w:numId w:val="4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426" w:hanging="426"/>
        <w:jc w:val="both"/>
        <w:rPr>
          <w:lang w:val="es-ES"/>
        </w:rPr>
      </w:pPr>
      <w:r w:rsidRPr="00B46BF7">
        <w:t>Η</w:t>
      </w:r>
      <w:r w:rsidR="00D54DDB">
        <w:t xml:space="preserve"> θεσμοθέτηση ειδικών κινήτρων προσέλκυσης και υλοποίησης επενδύσεων στις Περιφέρειες, </w:t>
      </w:r>
      <w:r w:rsidRPr="00B46BF7">
        <w:t xml:space="preserve">και ειδικά παραγωγικών επενδύσεων, για τη μείωση της αστυφιλίας, και την </w:t>
      </w:r>
      <w:r w:rsidRPr="00B46BF7">
        <w:rPr>
          <w:lang w:val="es-ES"/>
        </w:rPr>
        <w:t>αποκέντρωση του πληθυσμού και των δραστηριοτήτων του από την Αθήνα και την ευρύτερη περιοχή της</w:t>
      </w:r>
      <w:r w:rsidRPr="00B46BF7">
        <w:t>.</w:t>
      </w:r>
    </w:p>
    <w:p w:rsidR="00D54DDB" w:rsidRPr="00D54DDB" w:rsidRDefault="00B46BF7" w:rsidP="00D70B56">
      <w:pPr>
        <w:pStyle w:val="a8"/>
        <w:numPr>
          <w:ilvl w:val="0"/>
          <w:numId w:val="4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426" w:hanging="426"/>
        <w:jc w:val="both"/>
        <w:rPr>
          <w:lang w:val="es-ES"/>
        </w:rPr>
      </w:pPr>
      <w:r w:rsidRPr="00B46BF7">
        <w:t>Η ανασυγκρότηση</w:t>
      </w:r>
      <w:r w:rsidR="00D54DDB">
        <w:t xml:space="preserve"> Βιομηχανικών Κλάδων και </w:t>
      </w:r>
      <w:r w:rsidRPr="00B46BF7">
        <w:t>Περιοχών</w:t>
      </w:r>
      <w:r w:rsidR="00D54DDB">
        <w:t>.</w:t>
      </w:r>
      <w:r w:rsidRPr="00B46BF7">
        <w:t xml:space="preserve"> </w:t>
      </w:r>
    </w:p>
    <w:p w:rsidR="00B46BF7" w:rsidRPr="00D54DDB" w:rsidRDefault="00230BEA" w:rsidP="00D70B56">
      <w:pPr>
        <w:pStyle w:val="a8"/>
        <w:numPr>
          <w:ilvl w:val="0"/>
          <w:numId w:val="4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426" w:hanging="426"/>
        <w:jc w:val="both"/>
        <w:rPr>
          <w:lang w:val="es-ES"/>
        </w:rPr>
      </w:pPr>
      <w:r>
        <w:t xml:space="preserve">Η ανάπτυξη διασυνδέσεων του πρωτογενούς με τον δευτερογενή τομέα σε κάθε Περιφέρεια </w:t>
      </w:r>
      <w:r w:rsidR="00C26F6F">
        <w:t xml:space="preserve">για την παραγωγή διεθνώς εμπορεύσιμων προϊόντων υψηλής προστιθέμενης αξίας. </w:t>
      </w:r>
    </w:p>
    <w:p w:rsidR="00C26F6F" w:rsidRPr="009D3055" w:rsidRDefault="00C26F6F" w:rsidP="00D70B56">
      <w:pPr>
        <w:pStyle w:val="a8"/>
        <w:numPr>
          <w:ilvl w:val="0"/>
          <w:numId w:val="44"/>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120" w:after="120"/>
        <w:ind w:left="426" w:hanging="426"/>
        <w:jc w:val="both"/>
        <w:rPr>
          <w:lang w:val="es-ES"/>
        </w:rPr>
      </w:pPr>
      <w:r>
        <w:t xml:space="preserve">Η θεσμοθέτηση </w:t>
      </w:r>
      <w:r w:rsidR="005048D6">
        <w:t xml:space="preserve">στοχευμένων </w:t>
      </w:r>
      <w:r>
        <w:t xml:space="preserve">προγραμμάτων </w:t>
      </w:r>
      <w:r w:rsidR="005048D6">
        <w:t xml:space="preserve">καταπολέμησης της ανεργίας, </w:t>
      </w:r>
      <w:r>
        <w:t xml:space="preserve">ενίσχυσης της απασχόλησης </w:t>
      </w:r>
      <w:r w:rsidR="005048D6">
        <w:t xml:space="preserve">και των αναγκαίων ειδικοτήτων. </w:t>
      </w:r>
    </w:p>
    <w:p w:rsidR="009E4088" w:rsidRPr="005048D6" w:rsidRDefault="009D3055" w:rsidP="00D70B56">
      <w:pPr>
        <w:pStyle w:val="a8"/>
        <w:numPr>
          <w:ilvl w:val="0"/>
          <w:numId w:val="44"/>
        </w:numPr>
        <w:pBdr>
          <w:top w:val="single" w:sz="4" w:space="1" w:color="auto"/>
          <w:left w:val="single" w:sz="4" w:space="4" w:color="auto"/>
          <w:bottom w:val="single" w:sz="4" w:space="1" w:color="auto"/>
          <w:right w:val="single" w:sz="4" w:space="4" w:color="auto"/>
        </w:pBdr>
        <w:shd w:val="clear" w:color="auto" w:fill="F2F2F2" w:themeFill="background1" w:themeFillShade="F2"/>
        <w:ind w:left="426" w:hanging="426"/>
        <w:jc w:val="both"/>
        <w:rPr>
          <w:lang w:val="es-ES"/>
        </w:rPr>
      </w:pPr>
      <w:r>
        <w:t xml:space="preserve">Η </w:t>
      </w:r>
      <w:r w:rsidR="005048D6">
        <w:t xml:space="preserve">ανάδειξη και ενίσχυση συγκριτικών πλεονεκτημάτων παραγωγικών τομέων και κλάδων.  </w:t>
      </w:r>
    </w:p>
    <w:p w:rsidR="009E4088" w:rsidRPr="00AA3A20" w:rsidRDefault="00D80FB0" w:rsidP="00D70B56">
      <w:pPr>
        <w:pStyle w:val="a8"/>
        <w:numPr>
          <w:ilvl w:val="0"/>
          <w:numId w:val="44"/>
        </w:numPr>
        <w:pBdr>
          <w:top w:val="single" w:sz="4" w:space="1" w:color="auto"/>
          <w:left w:val="single" w:sz="4" w:space="4" w:color="auto"/>
          <w:bottom w:val="single" w:sz="4" w:space="1" w:color="auto"/>
          <w:right w:val="single" w:sz="4" w:space="4" w:color="auto"/>
        </w:pBdr>
        <w:shd w:val="clear" w:color="auto" w:fill="F2F2F2" w:themeFill="background1" w:themeFillShade="F2"/>
        <w:ind w:left="426" w:hanging="426"/>
        <w:jc w:val="both"/>
        <w:rPr>
          <w:lang w:val="es-ES"/>
        </w:rPr>
      </w:pPr>
      <w:r>
        <w:t xml:space="preserve">Η θεσμοθέτηση ειδικών λειτουργικών κινήτρων, μετά από αίτημα της χώρας και έγκριση της Ευρωπαϊκής Επιτροπής Ανταγωνισμού. </w:t>
      </w:r>
    </w:p>
    <w:p w:rsidR="007D4384" w:rsidRPr="007D4384" w:rsidRDefault="007D4384">
      <w:pPr>
        <w:rPr>
          <w:rFonts w:ascii="Calibri" w:hAnsi="Calibri"/>
        </w:rPr>
      </w:pPr>
      <w:r w:rsidRPr="007D4384">
        <w:rPr>
          <w:rFonts w:ascii="Calibri" w:hAnsi="Calibri"/>
        </w:rPr>
        <w:br w:type="page"/>
      </w:r>
    </w:p>
    <w:p w:rsidR="00127B85" w:rsidRPr="005C6CE4" w:rsidRDefault="00F3073E" w:rsidP="000106F1">
      <w:pPr>
        <w:jc w:val="center"/>
        <w:rPr>
          <w:rFonts w:ascii="Calibri" w:eastAsia="Calibri" w:hAnsi="Calibri"/>
          <w:b/>
          <w:color w:val="1F3864"/>
          <w:sz w:val="52"/>
          <w:szCs w:val="32"/>
        </w:rPr>
      </w:pPr>
      <w:r w:rsidRPr="005C6CE4">
        <w:rPr>
          <w:rFonts w:ascii="Calibri" w:eastAsia="Calibri" w:hAnsi="Calibri"/>
          <w:b/>
          <w:color w:val="1F3864"/>
          <w:sz w:val="52"/>
          <w:szCs w:val="32"/>
        </w:rPr>
        <w:lastRenderedPageBreak/>
        <w:t>ΑΞΙΟΠΟΙΗΣΗ ΤΟΥ ΥΠΟΥΡΓΕΙΟΥ ΒΙΟΜΗΧΑΝΙΑΣ</w:t>
      </w:r>
    </w:p>
    <w:p w:rsidR="00F3073E" w:rsidRPr="005C6CE4" w:rsidRDefault="00F3073E" w:rsidP="00127B85">
      <w:pPr>
        <w:jc w:val="both"/>
        <w:rPr>
          <w:rFonts w:ascii="Calibri" w:eastAsia="Calibri" w:hAnsi="Calibri"/>
          <w:b/>
          <w:color w:val="1F3864"/>
          <w:sz w:val="40"/>
          <w:szCs w:val="32"/>
        </w:rPr>
      </w:pPr>
    </w:p>
    <w:p w:rsidR="000106F1" w:rsidRPr="00F006BC" w:rsidRDefault="00F3073E" w:rsidP="000106F1">
      <w:pPr>
        <w:pBdr>
          <w:bottom w:val="single" w:sz="4" w:space="1" w:color="auto"/>
        </w:pBdr>
        <w:jc w:val="center"/>
        <w:rPr>
          <w:rFonts w:ascii="Calibri" w:eastAsia="Calibri" w:hAnsi="Calibri"/>
          <w:b/>
          <w:color w:val="1F3864"/>
          <w:sz w:val="40"/>
          <w:szCs w:val="32"/>
        </w:rPr>
      </w:pPr>
      <w:r w:rsidRPr="005C6CE4">
        <w:rPr>
          <w:rFonts w:ascii="Calibri" w:eastAsia="Calibri" w:hAnsi="Calibri"/>
          <w:b/>
          <w:color w:val="1F3864"/>
          <w:sz w:val="40"/>
          <w:szCs w:val="32"/>
        </w:rPr>
        <w:t xml:space="preserve">ΑΜΕΣΗ ΥΛΟΠΟΙΗΣΗ ΜΕΤΡΩΝ ΒΙΟΜΗΧΑΝΙΚΗΣ ΠΟΛΙΤΙΚΗΣ. </w:t>
      </w:r>
      <w:r w:rsidRPr="00F006BC">
        <w:rPr>
          <w:rFonts w:ascii="Calibri" w:eastAsia="Calibri" w:hAnsi="Calibri"/>
          <w:b/>
          <w:color w:val="1F3864"/>
          <w:sz w:val="40"/>
          <w:szCs w:val="32"/>
        </w:rPr>
        <w:t xml:space="preserve">ΠΡΩΤΟΒΟΥΛΙΑ: </w:t>
      </w:r>
    </w:p>
    <w:p w:rsidR="000106F1" w:rsidRPr="00F006BC" w:rsidRDefault="000106F1" w:rsidP="000106F1">
      <w:pPr>
        <w:pBdr>
          <w:bottom w:val="single" w:sz="4" w:space="1" w:color="auto"/>
        </w:pBdr>
        <w:jc w:val="center"/>
        <w:rPr>
          <w:rFonts w:ascii="Calibri" w:eastAsia="Calibri" w:hAnsi="Calibri"/>
          <w:b/>
          <w:color w:val="1F3864"/>
          <w:sz w:val="40"/>
          <w:szCs w:val="32"/>
        </w:rPr>
      </w:pPr>
    </w:p>
    <w:p w:rsidR="00F3073E" w:rsidRPr="00F006BC" w:rsidRDefault="00F3073E" w:rsidP="000106F1">
      <w:pPr>
        <w:pBdr>
          <w:bottom w:val="single" w:sz="4" w:space="1" w:color="auto"/>
        </w:pBdr>
        <w:jc w:val="center"/>
        <w:rPr>
          <w:rFonts w:ascii="Calibri" w:eastAsia="Calibri" w:hAnsi="Calibri"/>
          <w:b/>
          <w:color w:val="1F3864"/>
          <w:sz w:val="52"/>
          <w:szCs w:val="32"/>
        </w:rPr>
      </w:pPr>
      <w:r w:rsidRPr="00F006BC">
        <w:rPr>
          <w:rFonts w:ascii="Calibri" w:eastAsia="Calibri" w:hAnsi="Calibri"/>
          <w:b/>
          <w:color w:val="1F3864"/>
          <w:sz w:val="52"/>
          <w:szCs w:val="32"/>
        </w:rPr>
        <w:t>«ΙΣΧΥΡΗ ΒΙΟΜΗΧΑΝΙΑ, ΙΣΧΥΡΗ ΕΛΛΑΔΑ»</w:t>
      </w:r>
    </w:p>
    <w:p w:rsidR="000106F1" w:rsidRDefault="000106F1" w:rsidP="00127B85">
      <w:pPr>
        <w:spacing w:after="60"/>
        <w:jc w:val="both"/>
        <w:rPr>
          <w:rFonts w:ascii="Calibri" w:hAnsi="Calibri"/>
        </w:rPr>
      </w:pPr>
    </w:p>
    <w:p w:rsidR="008E4DCB" w:rsidRDefault="00127B85" w:rsidP="00127B85">
      <w:pPr>
        <w:spacing w:after="60"/>
        <w:jc w:val="both"/>
        <w:rPr>
          <w:rFonts w:ascii="Calibri" w:hAnsi="Calibri"/>
        </w:rPr>
      </w:pPr>
      <w:r>
        <w:rPr>
          <w:rFonts w:ascii="Calibri" w:hAnsi="Calibri"/>
        </w:rPr>
        <w:t xml:space="preserve">Μετά τη λήξη των μνημονίων η Ελλάδα θα πρέπει να επανέλθει σε υψηλούς ρυθμούς ανάπτυξης. </w:t>
      </w:r>
      <w:r w:rsidR="008E4DCB">
        <w:rPr>
          <w:rFonts w:ascii="Calibri" w:hAnsi="Calibri"/>
        </w:rPr>
        <w:t xml:space="preserve"> </w:t>
      </w:r>
      <w:r w:rsidR="008E4DCB" w:rsidRPr="00EF6022">
        <w:rPr>
          <w:rFonts w:ascii="Calibri" w:hAnsi="Calibri"/>
          <w:highlight w:val="yellow"/>
        </w:rPr>
        <w:t>Η ανάπτυξη από τώρα και στο εξής θα είναι αναιμική εάν δεν βελτιωθούν οι βασικές συνιστώσες της ανταγωνιστικότητας</w:t>
      </w:r>
      <w:r w:rsidR="008E4DCB">
        <w:rPr>
          <w:rFonts w:ascii="Calibri" w:hAnsi="Calibri"/>
        </w:rPr>
        <w:t>, με κ</w:t>
      </w:r>
      <w:r w:rsidR="00DF4FA8">
        <w:rPr>
          <w:rFonts w:ascii="Calibri" w:hAnsi="Calibri"/>
        </w:rPr>
        <w:t>ύριες την υπε</w:t>
      </w:r>
      <w:r w:rsidR="008E4DCB">
        <w:rPr>
          <w:rFonts w:ascii="Calibri" w:hAnsi="Calibri"/>
        </w:rPr>
        <w:t>ρφορολόγηση, το υψηλό μη μισθολογικό κόστος της απασχόλησης, την απουσία ρευστότητας, το υψηλό κόστος δανεισμού, το υψηλό κόστος ενέργειας</w:t>
      </w:r>
      <w:r w:rsidR="00EF6022">
        <w:rPr>
          <w:rFonts w:ascii="Calibri" w:hAnsi="Calibri"/>
        </w:rPr>
        <w:t>,</w:t>
      </w:r>
      <w:r w:rsidR="008E4DCB">
        <w:rPr>
          <w:rFonts w:ascii="Calibri" w:hAnsi="Calibri"/>
        </w:rPr>
        <w:t xml:space="preserve">  τη λειτουργία του τραπεζικού συστήματος και το </w:t>
      </w:r>
      <w:r w:rsidR="008E4DCB">
        <w:rPr>
          <w:rFonts w:ascii="Calibri" w:hAnsi="Calibri"/>
          <w:lang w:val="en-US"/>
        </w:rPr>
        <w:t>brain</w:t>
      </w:r>
      <w:r w:rsidR="008E4DCB" w:rsidRPr="008E4DCB">
        <w:rPr>
          <w:rFonts w:ascii="Calibri" w:hAnsi="Calibri"/>
        </w:rPr>
        <w:t xml:space="preserve"> </w:t>
      </w:r>
      <w:r w:rsidR="008E4DCB">
        <w:rPr>
          <w:rFonts w:ascii="Calibri" w:hAnsi="Calibri"/>
          <w:lang w:val="en-US"/>
        </w:rPr>
        <w:t>drain</w:t>
      </w:r>
      <w:r w:rsidR="008E4DCB">
        <w:rPr>
          <w:rFonts w:ascii="Calibri" w:hAnsi="Calibri"/>
        </w:rPr>
        <w:t xml:space="preserve">.   Οι αναμενόμενες βελτιώσεις στους παραπάνω τομείς προϋποθέτουν ότι </w:t>
      </w:r>
      <w:r w:rsidR="008E4DCB" w:rsidRPr="00EF6022">
        <w:rPr>
          <w:rFonts w:ascii="Calibri" w:hAnsi="Calibri"/>
          <w:highlight w:val="yellow"/>
        </w:rPr>
        <w:t>οι μεταρρυθμιστικές προσπάθειες θα πρέπει να ενταθούν περαιτέρω</w:t>
      </w:r>
      <w:r w:rsidR="008E4DCB">
        <w:rPr>
          <w:rFonts w:ascii="Calibri" w:hAnsi="Calibri"/>
        </w:rPr>
        <w:t xml:space="preserve"> και να γίνει κατανοητό από όλους, ο </w:t>
      </w:r>
      <w:r w:rsidR="008E4DCB" w:rsidRPr="00EF6022">
        <w:rPr>
          <w:rFonts w:ascii="Calibri" w:hAnsi="Calibri"/>
          <w:highlight w:val="yellow"/>
        </w:rPr>
        <w:t>κύριος</w:t>
      </w:r>
      <w:r w:rsidR="00EF6022" w:rsidRPr="00EF6022">
        <w:rPr>
          <w:rFonts w:ascii="Calibri" w:hAnsi="Calibri"/>
          <w:highlight w:val="yellow"/>
        </w:rPr>
        <w:t>,</w:t>
      </w:r>
      <w:r w:rsidR="008E4DCB" w:rsidRPr="00EF6022">
        <w:rPr>
          <w:rFonts w:ascii="Calibri" w:hAnsi="Calibri"/>
          <w:highlight w:val="yellow"/>
        </w:rPr>
        <w:t xml:space="preserve"> πυλώνας ανάπτυξης είναι η παραγωγή διεθνώς εμπορεύσιμων προϊόντων,</w:t>
      </w:r>
      <w:r w:rsidR="008E4DCB">
        <w:rPr>
          <w:rFonts w:ascii="Calibri" w:hAnsi="Calibri"/>
        </w:rPr>
        <w:t xml:space="preserve"> και</w:t>
      </w:r>
      <w:r w:rsidR="00EF6022">
        <w:rPr>
          <w:rFonts w:ascii="Calibri" w:hAnsi="Calibri"/>
        </w:rPr>
        <w:t xml:space="preserve"> για τον λόγο αυτό θα πρέπει έμπρακτα</w:t>
      </w:r>
      <w:r w:rsidR="008E4DCB">
        <w:rPr>
          <w:rFonts w:ascii="Calibri" w:hAnsi="Calibri"/>
        </w:rPr>
        <w:t xml:space="preserve"> η βιομηχανία </w:t>
      </w:r>
      <w:r w:rsidR="00EF6022">
        <w:rPr>
          <w:rFonts w:ascii="Calibri" w:hAnsi="Calibri"/>
        </w:rPr>
        <w:t xml:space="preserve">να τεθεί </w:t>
      </w:r>
      <w:r w:rsidR="008E4DCB">
        <w:rPr>
          <w:rFonts w:ascii="Calibri" w:hAnsi="Calibri"/>
        </w:rPr>
        <w:t xml:space="preserve">στο επίκεντρο της αναπτυξιακής διαδικασίας. </w:t>
      </w:r>
    </w:p>
    <w:p w:rsidR="0056655C" w:rsidRDefault="003228B3" w:rsidP="00127B85">
      <w:pPr>
        <w:spacing w:after="60"/>
        <w:jc w:val="both"/>
        <w:rPr>
          <w:rFonts w:ascii="Calibri" w:hAnsi="Calibri"/>
        </w:rPr>
      </w:pPr>
      <w:r>
        <w:rPr>
          <w:rFonts w:ascii="Calibri" w:hAnsi="Calibri"/>
        </w:rPr>
        <w:t>Παγκοσμίως</w:t>
      </w:r>
      <w:r w:rsidR="00127B85">
        <w:rPr>
          <w:rFonts w:ascii="Calibri" w:hAnsi="Calibri"/>
        </w:rPr>
        <w:t xml:space="preserve"> </w:t>
      </w:r>
      <w:r w:rsidR="00127B85" w:rsidRPr="009E1EDB">
        <w:rPr>
          <w:rFonts w:ascii="Calibri" w:hAnsi="Calibri"/>
          <w:highlight w:val="yellow"/>
        </w:rPr>
        <w:t>έχει αποδειχθεί</w:t>
      </w:r>
      <w:r w:rsidR="00127B85">
        <w:rPr>
          <w:rFonts w:ascii="Calibri" w:hAnsi="Calibri"/>
        </w:rPr>
        <w:t xml:space="preserve"> ότι </w:t>
      </w:r>
      <w:r w:rsidR="00127B85" w:rsidRPr="009E1EDB">
        <w:rPr>
          <w:rFonts w:ascii="Calibri" w:hAnsi="Calibri"/>
          <w:highlight w:val="yellow"/>
        </w:rPr>
        <w:t>η ύπαρξη διεθνώς ανταγωνιστικού δευτερογενούς τομέα</w:t>
      </w:r>
      <w:r w:rsidR="00127B85">
        <w:rPr>
          <w:rFonts w:ascii="Calibri" w:hAnsi="Calibri"/>
        </w:rPr>
        <w:t xml:space="preserve">, μπορεί να </w:t>
      </w:r>
      <w:r w:rsidR="00127B85" w:rsidRPr="009E1EDB">
        <w:rPr>
          <w:rFonts w:ascii="Calibri" w:hAnsi="Calibri"/>
          <w:highlight w:val="yellow"/>
        </w:rPr>
        <w:t>συμβάλλει αποτελεσματικά στην ανάπτυξη</w:t>
      </w:r>
      <w:r w:rsidR="00E51ECE">
        <w:rPr>
          <w:rFonts w:ascii="Calibri" w:hAnsi="Calibri"/>
        </w:rPr>
        <w:t xml:space="preserve"> </w:t>
      </w:r>
      <w:r w:rsidR="00564E26">
        <w:rPr>
          <w:rFonts w:ascii="Calibri" w:hAnsi="Calibri"/>
        </w:rPr>
        <w:t xml:space="preserve">μιας χώρας </w:t>
      </w:r>
      <w:r w:rsidR="00E51ECE" w:rsidRPr="009E1EDB">
        <w:rPr>
          <w:rFonts w:ascii="Calibri" w:hAnsi="Calibri"/>
          <w:highlight w:val="yellow"/>
        </w:rPr>
        <w:t>και στην κοινωνική συνοχή</w:t>
      </w:r>
      <w:r w:rsidR="00E51ECE">
        <w:rPr>
          <w:rFonts w:ascii="Calibri" w:hAnsi="Calibri"/>
        </w:rPr>
        <w:t xml:space="preserve">. </w:t>
      </w:r>
      <w:r w:rsidR="001236C2">
        <w:rPr>
          <w:rFonts w:ascii="Calibri" w:hAnsi="Calibri"/>
        </w:rPr>
        <w:t xml:space="preserve">  Ο Σύνδεσμος Βιομηχανιών Βορείου Ελλάδος χαιρετίζει με ιδιαίτερη ικανοποίηση την εξαιρετικά θετική απόφαση της Κυβέρνησης για τη δημιουργία Υφυπουργείου Βιομηχανίας, κατά τον πρόσφατο ανασχηματισμό.  Για την ουσιαστική αξιοποίηση της, προς όφελος της χώρας, αναμένουμε το Υπουργείο Βιομηχανίας να αποκτήσει </w:t>
      </w:r>
      <w:r w:rsidR="00DF4FA8">
        <w:rPr>
          <w:rFonts w:ascii="Calibri" w:hAnsi="Calibri"/>
        </w:rPr>
        <w:t>ουσιαστικές αρμοδιότητες και να αποτελέσει εστιακό σημείο χάραξης βιομηχανικής πολιτικής για την Ελλάδα.</w:t>
      </w:r>
    </w:p>
    <w:p w:rsidR="00F3073E" w:rsidRDefault="00592D95" w:rsidP="009E14ED">
      <w:pPr>
        <w:spacing w:after="60"/>
        <w:jc w:val="both"/>
        <w:rPr>
          <w:rFonts w:ascii="Calibri" w:hAnsi="Calibri"/>
        </w:rPr>
      </w:pPr>
      <w:r w:rsidRPr="00592D95">
        <w:rPr>
          <w:rFonts w:ascii="Calibri" w:hAnsi="Calibri"/>
        </w:rPr>
        <w:t xml:space="preserve">Με αφορμή ακριβώς </w:t>
      </w:r>
      <w:r>
        <w:rPr>
          <w:rFonts w:ascii="Calibri" w:hAnsi="Calibri"/>
        </w:rPr>
        <w:t>τη δημιουργία Υπουργείου Βιομηχανίας ο</w:t>
      </w:r>
      <w:r w:rsidR="009E14ED" w:rsidRPr="009E1EDB">
        <w:rPr>
          <w:rFonts w:ascii="Calibri" w:hAnsi="Calibri"/>
          <w:highlight w:val="yellow"/>
        </w:rPr>
        <w:t xml:space="preserve"> ΣΒΒΕ</w:t>
      </w:r>
      <w:r w:rsidR="009E14ED">
        <w:rPr>
          <w:rFonts w:ascii="Calibri" w:hAnsi="Calibri"/>
        </w:rPr>
        <w:t xml:space="preserve">, </w:t>
      </w:r>
      <w:r w:rsidR="009E14ED" w:rsidRPr="009E1EDB">
        <w:rPr>
          <w:rFonts w:ascii="Calibri" w:hAnsi="Calibri"/>
          <w:highlight w:val="yellow"/>
        </w:rPr>
        <w:t xml:space="preserve">προτείνει να </w:t>
      </w:r>
      <w:r w:rsidR="000611BB" w:rsidRPr="009E1EDB">
        <w:rPr>
          <w:rFonts w:ascii="Calibri" w:hAnsi="Calibri"/>
          <w:highlight w:val="yellow"/>
        </w:rPr>
        <w:t>υλοποιηθεί μια νέα αναπτυξιακή πρωτοβουλία για τη βιομηχανία με τίτλο: «</w:t>
      </w:r>
      <w:r w:rsidR="00F3073E">
        <w:rPr>
          <w:rFonts w:ascii="Calibri" w:hAnsi="Calibri"/>
          <w:highlight w:val="yellow"/>
        </w:rPr>
        <w:t>ΙΣΧΥΡΗ ΒΙΟΜΗΧΑΝΙΑ, ΙΣΧΥΡΗ ΕΛΛΑΔΑ</w:t>
      </w:r>
      <w:r w:rsidR="000611BB" w:rsidRPr="009E1EDB">
        <w:rPr>
          <w:rFonts w:ascii="Calibri" w:hAnsi="Calibri"/>
          <w:highlight w:val="yellow"/>
        </w:rPr>
        <w:t>»</w:t>
      </w:r>
      <w:r>
        <w:rPr>
          <w:rFonts w:ascii="Calibri" w:hAnsi="Calibri"/>
        </w:rPr>
        <w:t xml:space="preserve">, </w:t>
      </w:r>
      <w:r w:rsidR="000611BB">
        <w:rPr>
          <w:rFonts w:ascii="Calibri" w:hAnsi="Calibri"/>
        </w:rPr>
        <w:t xml:space="preserve">στην οποία θα πρέπει </w:t>
      </w:r>
      <w:r w:rsidR="000611BB" w:rsidRPr="009E1EDB">
        <w:rPr>
          <w:rFonts w:ascii="Calibri" w:hAnsi="Calibri"/>
          <w:highlight w:val="yellow"/>
        </w:rPr>
        <w:t xml:space="preserve">να συμπεριληφθούν οι ακόλουθοι </w:t>
      </w:r>
      <w:r w:rsidR="009E14ED" w:rsidRPr="009E1EDB">
        <w:rPr>
          <w:rFonts w:ascii="Calibri" w:hAnsi="Calibri"/>
          <w:highlight w:val="yellow"/>
        </w:rPr>
        <w:t>τέσσερεις πυλώνες πολιτικής</w:t>
      </w:r>
      <w:r w:rsidR="00F3073E">
        <w:rPr>
          <w:rFonts w:ascii="Calibri" w:hAnsi="Calibri"/>
        </w:rPr>
        <w:t>.</w:t>
      </w:r>
    </w:p>
    <w:p w:rsidR="009E14ED" w:rsidRDefault="009E14ED" w:rsidP="009E14ED">
      <w:pPr>
        <w:spacing w:after="60"/>
        <w:jc w:val="both"/>
        <w:rPr>
          <w:rFonts w:ascii="Calibri" w:hAnsi="Calibri"/>
        </w:rPr>
      </w:pPr>
    </w:p>
    <w:tbl>
      <w:tblPr>
        <w:tblStyle w:val="a7"/>
        <w:tblW w:w="0" w:type="auto"/>
        <w:tblLook w:val="04A0" w:firstRow="1" w:lastRow="0" w:firstColumn="1" w:lastColumn="0" w:noHBand="0" w:noVBand="1"/>
      </w:tblPr>
      <w:tblGrid>
        <w:gridCol w:w="9060"/>
      </w:tblGrid>
      <w:tr w:rsidR="003623A8" w:rsidRPr="003623A8" w:rsidTr="003623A8">
        <w:tc>
          <w:tcPr>
            <w:tcW w:w="9060" w:type="dxa"/>
          </w:tcPr>
          <w:p w:rsidR="003623A8" w:rsidRPr="003623A8" w:rsidRDefault="003623A8" w:rsidP="00D70B56">
            <w:pPr>
              <w:spacing w:after="100"/>
              <w:ind w:left="454" w:hanging="454"/>
              <w:jc w:val="both"/>
              <w:rPr>
                <w:rFonts w:ascii="Calibri" w:hAnsi="Calibri"/>
                <w:b/>
                <w:sz w:val="28"/>
              </w:rPr>
            </w:pPr>
            <w:r w:rsidRPr="003623A8">
              <w:rPr>
                <w:rFonts w:ascii="Calibri" w:hAnsi="Calibri"/>
                <w:b/>
                <w:sz w:val="28"/>
              </w:rPr>
              <w:t>Α]</w:t>
            </w:r>
            <w:r w:rsidRPr="003623A8">
              <w:rPr>
                <w:rFonts w:ascii="Calibri" w:hAnsi="Calibri"/>
                <w:b/>
                <w:sz w:val="28"/>
              </w:rPr>
              <w:tab/>
              <w:t xml:space="preserve">ΥΛΟΠΟΙΗΣΗ ΠΑΡΑΓΩΓΙΚΩΝ ΕΠΕΝΔΥΣΕΩΝ </w:t>
            </w:r>
          </w:p>
          <w:p w:rsidR="003623A8" w:rsidRPr="003623A8" w:rsidRDefault="003623A8" w:rsidP="00D70B56">
            <w:pPr>
              <w:spacing w:after="100"/>
              <w:ind w:left="454" w:hanging="454"/>
              <w:jc w:val="both"/>
              <w:rPr>
                <w:rFonts w:ascii="Calibri" w:hAnsi="Calibri"/>
                <w:b/>
                <w:sz w:val="28"/>
              </w:rPr>
            </w:pPr>
            <w:r w:rsidRPr="003623A8">
              <w:rPr>
                <w:rFonts w:ascii="Calibri" w:hAnsi="Calibri"/>
                <w:b/>
                <w:sz w:val="28"/>
              </w:rPr>
              <w:t>Β]</w:t>
            </w:r>
            <w:r w:rsidRPr="003623A8">
              <w:rPr>
                <w:rFonts w:ascii="Calibri" w:hAnsi="Calibri"/>
                <w:b/>
                <w:sz w:val="28"/>
              </w:rPr>
              <w:tab/>
              <w:t>ΠΑΡΑΓΩΓΗ ΔΙΕΘΝΩΣ ΕΜΠΟΡΕΥΣΙΜΩΝ ΠΡΟΪΟΝΤΩΝ – ΑΝΑΠΤΥΞΗ ΔΡΑΣΕΩΝ ΔΙΕΘΝΟΠΟΙΗΣΗΣ &amp; ΕΞΩΣΤΡΕΦΕΙΑΣ</w:t>
            </w:r>
          </w:p>
          <w:p w:rsidR="003623A8" w:rsidRPr="003623A8" w:rsidRDefault="003623A8" w:rsidP="00D70B56">
            <w:pPr>
              <w:spacing w:after="100"/>
              <w:ind w:left="454" w:hanging="454"/>
              <w:jc w:val="both"/>
              <w:rPr>
                <w:rFonts w:ascii="Calibri" w:hAnsi="Calibri"/>
                <w:b/>
                <w:sz w:val="28"/>
              </w:rPr>
            </w:pPr>
            <w:r w:rsidRPr="003623A8">
              <w:rPr>
                <w:rFonts w:ascii="Calibri" w:hAnsi="Calibri"/>
                <w:b/>
                <w:sz w:val="28"/>
              </w:rPr>
              <w:t>Γ]</w:t>
            </w:r>
            <w:r w:rsidRPr="003623A8">
              <w:rPr>
                <w:rFonts w:ascii="Calibri" w:hAnsi="Calibri"/>
                <w:b/>
                <w:sz w:val="28"/>
              </w:rPr>
              <w:tab/>
              <w:t>ΣΧΕΔΙΑΣΜΟΣ &amp; ΥΛΟΠΟΙΗΣΗ ΔΡΑΣΕΩΝ ΚΑΙΝΟΤΟΜΙΑΣ &amp; ΜΕΤΑΦΟΡΑΣ ΤΕΧΝΟΛΟΓΙΑΣ</w:t>
            </w:r>
          </w:p>
          <w:p w:rsidR="003623A8" w:rsidRPr="003623A8" w:rsidRDefault="003623A8" w:rsidP="00D70B56">
            <w:pPr>
              <w:spacing w:after="100"/>
              <w:ind w:left="454" w:hanging="454"/>
              <w:jc w:val="both"/>
              <w:rPr>
                <w:rFonts w:ascii="Calibri" w:hAnsi="Calibri"/>
                <w:b/>
                <w:sz w:val="28"/>
              </w:rPr>
            </w:pPr>
            <w:r w:rsidRPr="003623A8">
              <w:rPr>
                <w:rFonts w:ascii="Calibri" w:hAnsi="Calibri"/>
                <w:b/>
                <w:sz w:val="28"/>
              </w:rPr>
              <w:t>Δ]</w:t>
            </w:r>
            <w:r w:rsidRPr="003623A8">
              <w:rPr>
                <w:rFonts w:ascii="Calibri" w:hAnsi="Calibri"/>
                <w:b/>
                <w:sz w:val="28"/>
              </w:rPr>
              <w:tab/>
              <w:t>ΥΠΟΔΟΜΕΣ ΣΤΗΡΙΞΗΣ ΜΕΤΑΠΟΙΗΤΙΚΗΣ ΔΡΑΣΤΗΡΙΟΤΗΤΑΣ – ΕΙΔΙΚΑ ΠΡΟΒΛΗΜΑΤΑ</w:t>
            </w:r>
          </w:p>
        </w:tc>
      </w:tr>
    </w:tbl>
    <w:p w:rsidR="003623A8" w:rsidRDefault="003623A8">
      <w:pPr>
        <w:rPr>
          <w:rFonts w:ascii="Calibri" w:hAnsi="Calibri"/>
        </w:rPr>
      </w:pPr>
    </w:p>
    <w:p w:rsidR="00D70B56" w:rsidRDefault="00D70B56">
      <w:pPr>
        <w:rPr>
          <w:rFonts w:ascii="Calibri" w:eastAsia="Calibri" w:hAnsi="Calibri"/>
          <w:b/>
          <w:color w:val="1F3864"/>
          <w:sz w:val="28"/>
          <w:szCs w:val="32"/>
        </w:rPr>
      </w:pPr>
      <w:r>
        <w:rPr>
          <w:rFonts w:ascii="Calibri" w:eastAsia="Calibri" w:hAnsi="Calibri"/>
          <w:b/>
          <w:color w:val="1F3864"/>
          <w:sz w:val="28"/>
          <w:szCs w:val="32"/>
        </w:rPr>
        <w:br w:type="page"/>
      </w:r>
    </w:p>
    <w:p w:rsidR="008A7A1F" w:rsidRDefault="009C2445" w:rsidP="00D70B56">
      <w:pPr>
        <w:ind w:left="567" w:hanging="567"/>
        <w:jc w:val="both"/>
        <w:rPr>
          <w:rFonts w:ascii="Calibri" w:eastAsia="Calibri" w:hAnsi="Calibri"/>
          <w:b/>
          <w:color w:val="1F3864"/>
          <w:sz w:val="28"/>
          <w:szCs w:val="32"/>
        </w:rPr>
      </w:pPr>
      <w:r w:rsidRPr="00323253">
        <w:rPr>
          <w:rFonts w:ascii="Calibri" w:eastAsia="Calibri" w:hAnsi="Calibri"/>
          <w:b/>
          <w:color w:val="1F3864"/>
          <w:sz w:val="28"/>
          <w:szCs w:val="32"/>
        </w:rPr>
        <w:lastRenderedPageBreak/>
        <w:t>Α]</w:t>
      </w:r>
      <w:r w:rsidRPr="00323253">
        <w:rPr>
          <w:rFonts w:ascii="Calibri" w:eastAsia="Calibri" w:hAnsi="Calibri"/>
          <w:b/>
          <w:color w:val="1F3864"/>
          <w:sz w:val="28"/>
          <w:szCs w:val="32"/>
        </w:rPr>
        <w:tab/>
      </w:r>
      <w:r w:rsidR="000440EE">
        <w:rPr>
          <w:rFonts w:ascii="Calibri" w:eastAsia="Calibri" w:hAnsi="Calibri"/>
          <w:b/>
          <w:color w:val="1F3864"/>
          <w:sz w:val="28"/>
          <w:szCs w:val="32"/>
        </w:rPr>
        <w:t xml:space="preserve">ΥΛΟΠΟΙΗΣΗ ΠΑΡΑΓΩΓΙΚΩΝ ΕΠΕΝΔΥΣΕΩΝ </w:t>
      </w:r>
    </w:p>
    <w:p w:rsidR="006E49DF" w:rsidRPr="00323253" w:rsidRDefault="006E49DF" w:rsidP="009C2445">
      <w:pPr>
        <w:jc w:val="both"/>
        <w:rPr>
          <w:rFonts w:ascii="Calibri" w:eastAsia="Calibri" w:hAnsi="Calibri"/>
          <w:b/>
          <w:color w:val="1F3864"/>
          <w:sz w:val="28"/>
          <w:szCs w:val="32"/>
        </w:rPr>
      </w:pPr>
    </w:p>
    <w:p w:rsidR="008A7A1F" w:rsidRPr="00BF1D07" w:rsidRDefault="009C2445" w:rsidP="00D70B56">
      <w:pPr>
        <w:numPr>
          <w:ilvl w:val="0"/>
          <w:numId w:val="32"/>
        </w:numPr>
        <w:spacing w:after="160" w:line="259" w:lineRule="auto"/>
        <w:ind w:left="567" w:hanging="567"/>
        <w:contextualSpacing/>
        <w:jc w:val="both"/>
        <w:rPr>
          <w:rFonts w:ascii="Calibri" w:eastAsia="Calibri" w:hAnsi="Calibri"/>
          <w:b/>
          <w:highlight w:val="yellow"/>
        </w:rPr>
      </w:pPr>
      <w:r w:rsidRPr="00BF1D07">
        <w:rPr>
          <w:rFonts w:ascii="Calibri" w:eastAsia="Calibri" w:hAnsi="Calibri"/>
          <w:b/>
          <w:highlight w:val="yellow"/>
        </w:rPr>
        <w:t>Υλοποίηση παραγωγικών επενδύσεων</w:t>
      </w:r>
      <w:r w:rsidRPr="00564E26">
        <w:rPr>
          <w:rFonts w:ascii="Calibri" w:eastAsia="Calibri" w:hAnsi="Calibri"/>
          <w:b/>
        </w:rPr>
        <w:t xml:space="preserve">, με τη βοήθεια </w:t>
      </w:r>
      <w:r w:rsidRPr="00BF1D07">
        <w:rPr>
          <w:rFonts w:ascii="Calibri" w:eastAsia="Calibri" w:hAnsi="Calibri"/>
          <w:b/>
          <w:highlight w:val="yellow"/>
        </w:rPr>
        <w:t xml:space="preserve">ειδικών προγραμμάτων βιομηχανικής αναδιάρθρωσης. </w:t>
      </w:r>
    </w:p>
    <w:p w:rsidR="009C2445" w:rsidRPr="00323253" w:rsidRDefault="009C2445" w:rsidP="00D70B56">
      <w:pPr>
        <w:numPr>
          <w:ilvl w:val="0"/>
          <w:numId w:val="33"/>
        </w:numPr>
        <w:spacing w:after="160" w:line="259" w:lineRule="auto"/>
        <w:ind w:left="993" w:hanging="284"/>
        <w:contextualSpacing/>
        <w:jc w:val="both"/>
        <w:rPr>
          <w:rFonts w:ascii="Calibri" w:eastAsia="Calibri" w:hAnsi="Calibri"/>
        </w:rPr>
      </w:pPr>
      <w:r w:rsidRPr="00323253">
        <w:rPr>
          <w:rFonts w:ascii="Calibri" w:eastAsia="Calibri" w:hAnsi="Calibri"/>
        </w:rPr>
        <w:t xml:space="preserve">Υποπρόγραμμα 1: </w:t>
      </w:r>
      <w:r w:rsidRPr="00BF1D07">
        <w:rPr>
          <w:rFonts w:ascii="Calibri" w:eastAsia="Calibri" w:hAnsi="Calibri"/>
          <w:highlight w:val="yellow"/>
        </w:rPr>
        <w:t>Μεσαίες και μεγάλες επιχειρήσεις στρατηγικής σημασίας,</w:t>
      </w:r>
      <w:r w:rsidRPr="00323253">
        <w:rPr>
          <w:rFonts w:ascii="Calibri" w:eastAsia="Calibri" w:hAnsi="Calibri"/>
        </w:rPr>
        <w:t xml:space="preserve"> δηλ. επιχειρήσεις που είτε απασχολούν από 100 – 250 εργαζόμενους, και κατατάσσονται στις μικρομεσαίες, είτε ανήκουν στην κατηγορία των μεγάλων επιχειρήσεων. </w:t>
      </w:r>
    </w:p>
    <w:p w:rsidR="009C2445" w:rsidRPr="00BF1D07" w:rsidRDefault="009C2445" w:rsidP="00D70B56">
      <w:pPr>
        <w:numPr>
          <w:ilvl w:val="0"/>
          <w:numId w:val="33"/>
        </w:numPr>
        <w:spacing w:after="160" w:line="259" w:lineRule="auto"/>
        <w:ind w:left="993" w:hanging="284"/>
        <w:contextualSpacing/>
        <w:jc w:val="both"/>
        <w:rPr>
          <w:rFonts w:ascii="Calibri" w:eastAsia="Calibri" w:hAnsi="Calibri"/>
          <w:highlight w:val="yellow"/>
        </w:rPr>
      </w:pPr>
      <w:r w:rsidRPr="00323253">
        <w:rPr>
          <w:rFonts w:ascii="Calibri" w:eastAsia="Calibri" w:hAnsi="Calibri"/>
        </w:rPr>
        <w:t xml:space="preserve">Υποπρόγραμμα 2: </w:t>
      </w:r>
      <w:r w:rsidRPr="00BF1D07">
        <w:rPr>
          <w:rFonts w:ascii="Calibri" w:eastAsia="Calibri" w:hAnsi="Calibri"/>
          <w:highlight w:val="yellow"/>
        </w:rPr>
        <w:t>Κλαδική πολιτική</w:t>
      </w:r>
      <w:r w:rsidRPr="00323253">
        <w:rPr>
          <w:rFonts w:ascii="Calibri" w:eastAsia="Calibri" w:hAnsi="Calibri"/>
        </w:rPr>
        <w:t xml:space="preserve">, μέσω του οποίου προτείνεται να ισχύσουν ειδικά κίνητρα για τις επιχειρήσεις </w:t>
      </w:r>
      <w:r w:rsidRPr="00BF1D07">
        <w:rPr>
          <w:rFonts w:ascii="Calibri" w:eastAsia="Calibri" w:hAnsi="Calibri"/>
          <w:highlight w:val="yellow"/>
        </w:rPr>
        <w:t xml:space="preserve">μεταποίησης τροφίμων, για επιχειρήσεις δομικών και νέων υλικών, καθώς επίσης και για επιχειρήσεις κλωστοϋφαντουργίας και ένδυσης. </w:t>
      </w:r>
    </w:p>
    <w:p w:rsidR="009C2445" w:rsidRPr="00323253" w:rsidRDefault="009C2445" w:rsidP="00D70B56">
      <w:pPr>
        <w:numPr>
          <w:ilvl w:val="0"/>
          <w:numId w:val="33"/>
        </w:numPr>
        <w:spacing w:after="160" w:line="259" w:lineRule="auto"/>
        <w:ind w:left="993" w:hanging="284"/>
        <w:contextualSpacing/>
        <w:jc w:val="both"/>
        <w:rPr>
          <w:rFonts w:ascii="Calibri" w:eastAsia="Calibri" w:hAnsi="Calibri"/>
        </w:rPr>
      </w:pPr>
      <w:r w:rsidRPr="00323253">
        <w:rPr>
          <w:rFonts w:ascii="Calibri" w:eastAsia="Calibri" w:hAnsi="Calibri"/>
        </w:rPr>
        <w:t xml:space="preserve">Υποπρόγραμμα 3: </w:t>
      </w:r>
      <w:r w:rsidRPr="00BF1D07">
        <w:rPr>
          <w:rFonts w:ascii="Calibri" w:eastAsia="Calibri" w:hAnsi="Calibri"/>
          <w:highlight w:val="yellow"/>
        </w:rPr>
        <w:t>Οριζόντιες ενισχύσεις</w:t>
      </w:r>
      <w:r w:rsidRPr="00323253">
        <w:rPr>
          <w:rFonts w:ascii="Calibri" w:eastAsia="Calibri" w:hAnsi="Calibri"/>
        </w:rPr>
        <w:t xml:space="preserve">, για δράσεις όπως: εκσυγχρονισμός του μηχανολογικού και λοιπού εξοπλισμού, χρήσης «καθαρής» ενέργειας, διαχείρισης αποβλήτων, ανακύκλωσης υλών, υλικών και συσκευασιών, μείωσης της κατανάλωσης νερού, και, εισαγωγής συστημάτων εξοικονόμησης ενέργειας. </w:t>
      </w:r>
    </w:p>
    <w:p w:rsidR="009C2445" w:rsidRPr="00323253" w:rsidRDefault="009C2445" w:rsidP="00D70B56">
      <w:pPr>
        <w:numPr>
          <w:ilvl w:val="0"/>
          <w:numId w:val="33"/>
        </w:numPr>
        <w:spacing w:after="160" w:line="259" w:lineRule="auto"/>
        <w:ind w:left="993" w:hanging="284"/>
        <w:contextualSpacing/>
        <w:jc w:val="both"/>
        <w:rPr>
          <w:rFonts w:ascii="Calibri" w:eastAsia="Calibri" w:hAnsi="Calibri"/>
        </w:rPr>
      </w:pPr>
      <w:r w:rsidRPr="00323253">
        <w:rPr>
          <w:rFonts w:ascii="Calibri" w:eastAsia="Calibri" w:hAnsi="Calibri"/>
        </w:rPr>
        <w:t xml:space="preserve">Υποπρόγραμμα 4: </w:t>
      </w:r>
      <w:r w:rsidRPr="00BF1D07">
        <w:rPr>
          <w:rFonts w:ascii="Calibri" w:eastAsia="Calibri" w:hAnsi="Calibri"/>
          <w:highlight w:val="yellow"/>
        </w:rPr>
        <w:t>προσέλκυση διεθνών επενδύσεων και ενισχύσεις για τη δημιουργία νέων μεταποιητικών επιχειρήσεων</w:t>
      </w:r>
      <w:r w:rsidRPr="00323253">
        <w:rPr>
          <w:rFonts w:ascii="Calibri" w:eastAsia="Calibri" w:hAnsi="Calibri"/>
        </w:rPr>
        <w:t xml:space="preserve"> που θα παράγουν διεθνώς εμπορεύσιμα προϊόντα υψηλής προστιθέμενης αξίας. </w:t>
      </w:r>
    </w:p>
    <w:p w:rsidR="0056655C" w:rsidRDefault="009C2445" w:rsidP="00D70B56">
      <w:pPr>
        <w:numPr>
          <w:ilvl w:val="0"/>
          <w:numId w:val="32"/>
        </w:numPr>
        <w:spacing w:after="160" w:line="259" w:lineRule="auto"/>
        <w:ind w:left="567" w:hanging="567"/>
        <w:contextualSpacing/>
        <w:jc w:val="both"/>
        <w:rPr>
          <w:rFonts w:ascii="Calibri" w:eastAsia="Calibri" w:hAnsi="Calibri"/>
        </w:rPr>
      </w:pPr>
      <w:r w:rsidRPr="00564E26">
        <w:rPr>
          <w:rFonts w:ascii="Calibri" w:eastAsia="Calibri" w:hAnsi="Calibri"/>
          <w:b/>
        </w:rPr>
        <w:t xml:space="preserve">Διασύνδεση του </w:t>
      </w:r>
      <w:r w:rsidRPr="00BF1D07">
        <w:rPr>
          <w:rFonts w:ascii="Calibri" w:eastAsia="Calibri" w:hAnsi="Calibri"/>
          <w:b/>
          <w:highlight w:val="yellow"/>
        </w:rPr>
        <w:t>πρωτογενούς τομέα παραγωγής με τον δευτερογενή,</w:t>
      </w:r>
      <w:r w:rsidRPr="00323253">
        <w:rPr>
          <w:rFonts w:ascii="Calibri" w:eastAsia="Calibri" w:hAnsi="Calibri"/>
        </w:rPr>
        <w:t xml:space="preserve"> για την παραγωγή προϊόντων ονομασίας προέλευσης, υψηλής ποιότητας, που είναι ελκυστικά συσκευασμένα και τυποποιημένα. </w:t>
      </w:r>
    </w:p>
    <w:p w:rsidR="009C2445" w:rsidRPr="00323253" w:rsidRDefault="009C2445" w:rsidP="00D70B56">
      <w:pPr>
        <w:numPr>
          <w:ilvl w:val="0"/>
          <w:numId w:val="32"/>
        </w:numPr>
        <w:spacing w:after="160" w:line="259" w:lineRule="auto"/>
        <w:ind w:left="567" w:hanging="567"/>
        <w:contextualSpacing/>
        <w:jc w:val="both"/>
        <w:rPr>
          <w:rFonts w:ascii="Calibri" w:eastAsia="Calibri" w:hAnsi="Calibri"/>
        </w:rPr>
      </w:pPr>
      <w:r w:rsidRPr="00564E26">
        <w:rPr>
          <w:rFonts w:ascii="Calibri" w:eastAsia="Calibri" w:hAnsi="Calibri"/>
          <w:b/>
        </w:rPr>
        <w:t xml:space="preserve">Αναβάθμιση </w:t>
      </w:r>
      <w:r w:rsidRPr="00BF1D07">
        <w:rPr>
          <w:rFonts w:ascii="Calibri" w:eastAsia="Calibri" w:hAnsi="Calibri"/>
          <w:b/>
          <w:highlight w:val="yellow"/>
        </w:rPr>
        <w:t>προσόντων και δεξιοτήτων του ανθρώπινου δυναμικού</w:t>
      </w:r>
      <w:r w:rsidRPr="00564E26">
        <w:rPr>
          <w:rFonts w:ascii="Calibri" w:eastAsia="Calibri" w:hAnsi="Calibri"/>
          <w:b/>
        </w:rPr>
        <w:t xml:space="preserve"> της </w:t>
      </w:r>
      <w:r w:rsidR="008A7A1F" w:rsidRPr="00564E26">
        <w:rPr>
          <w:rFonts w:ascii="Calibri" w:eastAsia="Calibri" w:hAnsi="Calibri"/>
          <w:b/>
        </w:rPr>
        <w:t xml:space="preserve">ελληνικής </w:t>
      </w:r>
      <w:r w:rsidRPr="00564E26">
        <w:rPr>
          <w:rFonts w:ascii="Calibri" w:eastAsia="Calibri" w:hAnsi="Calibri"/>
          <w:b/>
        </w:rPr>
        <w:t>περιφερειακής βιομηχανίας,</w:t>
      </w:r>
      <w:r w:rsidRPr="00323253">
        <w:rPr>
          <w:rFonts w:ascii="Calibri" w:eastAsia="Calibri" w:hAnsi="Calibri"/>
        </w:rPr>
        <w:t xml:space="preserve"> με τη θέσπιση προγραμμάτων εκπαίδευσης ειδικής θεματολογίας για τη μεταποίηση, την επιδότηση της παρακολούθησης μεταπτυχιακών προγραμμάτων και εξειδικευμένης θεματολογίας σεμιναρίων, την ενίσχυση των γλωσσικών ικανοτήτων ανωτέρων και ανωτάτων στελεχών μεταποιητικών επιχειρήσεων, και την αναβάθμιση των προσόντων στελεχών επιχειρήσεων που ασχολούνται με τη διεθνοποίηση.</w:t>
      </w:r>
    </w:p>
    <w:p w:rsidR="009C2445" w:rsidRPr="00323253" w:rsidRDefault="009C2445" w:rsidP="00D70B56">
      <w:pPr>
        <w:numPr>
          <w:ilvl w:val="0"/>
          <w:numId w:val="32"/>
        </w:numPr>
        <w:spacing w:after="160" w:line="259" w:lineRule="auto"/>
        <w:ind w:left="567" w:hanging="567"/>
        <w:contextualSpacing/>
        <w:jc w:val="both"/>
        <w:rPr>
          <w:rFonts w:ascii="Calibri" w:eastAsia="Calibri" w:hAnsi="Calibri"/>
        </w:rPr>
      </w:pPr>
      <w:r w:rsidRPr="00BF1D07">
        <w:rPr>
          <w:rFonts w:ascii="Calibri" w:eastAsia="Calibri" w:hAnsi="Calibri"/>
          <w:b/>
          <w:highlight w:val="yellow"/>
        </w:rPr>
        <w:t>Αφομοίωση αποτελεσμάτων έρευνας από μεταποιητικές επιχειρήσεις,</w:t>
      </w:r>
      <w:r w:rsidRPr="00323253">
        <w:rPr>
          <w:rFonts w:ascii="Calibri" w:eastAsia="Calibri" w:hAnsi="Calibri"/>
        </w:rPr>
        <w:t xml:space="preserve"> με τη δημιουργία ειδικού προγράμματος κάλυψης του κόστους μετακίνησης και μισθοδοσίας ερευνητικού προσωπικού υψηλού επιπέδου από ερευνητικά κέντρα, ινστιτούτα, πανεπιστήμια κλπ. προς τις επιχειρήσεις, ούτως ώστε να εισαχθούν νέες τεχνολογίες και να γίνει εφικτή η χρήση νέων υλικών στις παραδοσιακές βιομηχανίες. </w:t>
      </w:r>
    </w:p>
    <w:p w:rsidR="003646C8" w:rsidRPr="00323253" w:rsidRDefault="003646C8" w:rsidP="009C2445">
      <w:pPr>
        <w:jc w:val="both"/>
        <w:rPr>
          <w:rFonts w:ascii="Calibri" w:eastAsia="Calibri" w:hAnsi="Calibri"/>
        </w:rPr>
      </w:pPr>
    </w:p>
    <w:p w:rsidR="009C2445" w:rsidRDefault="009C2445" w:rsidP="00D70B56">
      <w:pPr>
        <w:ind w:left="567" w:hanging="567"/>
        <w:jc w:val="both"/>
        <w:rPr>
          <w:rFonts w:ascii="Calibri" w:eastAsia="Calibri" w:hAnsi="Calibri"/>
          <w:b/>
          <w:color w:val="1F3864"/>
          <w:sz w:val="28"/>
          <w:szCs w:val="32"/>
        </w:rPr>
      </w:pPr>
      <w:r w:rsidRPr="00323253">
        <w:rPr>
          <w:rFonts w:ascii="Calibri" w:eastAsia="Calibri" w:hAnsi="Calibri"/>
          <w:b/>
          <w:color w:val="1F3864"/>
          <w:sz w:val="28"/>
          <w:szCs w:val="32"/>
        </w:rPr>
        <w:t>Β]</w:t>
      </w:r>
      <w:r w:rsidRPr="00323253">
        <w:rPr>
          <w:rFonts w:ascii="Calibri" w:eastAsia="Calibri" w:hAnsi="Calibri"/>
          <w:b/>
          <w:color w:val="1F3864"/>
          <w:sz w:val="28"/>
          <w:szCs w:val="32"/>
        </w:rPr>
        <w:tab/>
      </w:r>
      <w:r w:rsidR="008A7A1F">
        <w:rPr>
          <w:rFonts w:ascii="Calibri" w:eastAsia="Calibri" w:hAnsi="Calibri"/>
          <w:b/>
          <w:color w:val="1F3864"/>
          <w:sz w:val="28"/>
          <w:szCs w:val="32"/>
        </w:rPr>
        <w:t xml:space="preserve">ΠΑΡΑΓΩΓΗ ΔΙΕΘΝΩΣ ΕΜΠΟΡΕΥΣΙΜΩΝ ΠΡΟΪΟΝΤΩΝ – ΑΝΑΠΤΥΞΗ ΔΡΑΣΕΩΝ </w:t>
      </w:r>
      <w:r w:rsidRPr="00323253">
        <w:rPr>
          <w:rFonts w:ascii="Calibri" w:eastAsia="Calibri" w:hAnsi="Calibri"/>
          <w:b/>
          <w:color w:val="1F3864"/>
          <w:sz w:val="28"/>
          <w:szCs w:val="32"/>
        </w:rPr>
        <w:t>ΔΙΕΘΝΟΠΟΙΗΣΗ</w:t>
      </w:r>
      <w:r w:rsidR="008A7A1F">
        <w:rPr>
          <w:rFonts w:ascii="Calibri" w:eastAsia="Calibri" w:hAnsi="Calibri"/>
          <w:b/>
          <w:color w:val="1F3864"/>
          <w:sz w:val="28"/>
          <w:szCs w:val="32"/>
        </w:rPr>
        <w:t xml:space="preserve">Σ &amp; </w:t>
      </w:r>
      <w:r w:rsidRPr="00323253">
        <w:rPr>
          <w:rFonts w:ascii="Calibri" w:eastAsia="Calibri" w:hAnsi="Calibri"/>
          <w:b/>
          <w:color w:val="1F3864"/>
          <w:sz w:val="28"/>
          <w:szCs w:val="32"/>
        </w:rPr>
        <w:t>ΕΞΩΣΤΡΕΦΕΙΑ</w:t>
      </w:r>
      <w:r w:rsidR="008A7A1F">
        <w:rPr>
          <w:rFonts w:ascii="Calibri" w:eastAsia="Calibri" w:hAnsi="Calibri"/>
          <w:b/>
          <w:color w:val="1F3864"/>
          <w:sz w:val="28"/>
          <w:szCs w:val="32"/>
        </w:rPr>
        <w:t>Σ</w:t>
      </w:r>
    </w:p>
    <w:p w:rsidR="008A7A1F" w:rsidRPr="00323253" w:rsidRDefault="008A7A1F" w:rsidP="009C2445">
      <w:pPr>
        <w:jc w:val="both"/>
        <w:rPr>
          <w:rFonts w:ascii="Calibri" w:eastAsia="Calibri" w:hAnsi="Calibri"/>
          <w:b/>
          <w:color w:val="1F3864"/>
          <w:sz w:val="28"/>
          <w:szCs w:val="32"/>
        </w:rPr>
      </w:pPr>
    </w:p>
    <w:p w:rsidR="009C2445" w:rsidRPr="00323253" w:rsidRDefault="009C2445" w:rsidP="00D70B56">
      <w:pPr>
        <w:numPr>
          <w:ilvl w:val="0"/>
          <w:numId w:val="31"/>
        </w:numPr>
        <w:spacing w:after="160" w:line="259" w:lineRule="auto"/>
        <w:ind w:left="567" w:hanging="567"/>
        <w:contextualSpacing/>
        <w:jc w:val="both"/>
        <w:rPr>
          <w:rFonts w:ascii="Calibri" w:eastAsia="Calibri" w:hAnsi="Calibri"/>
        </w:rPr>
      </w:pPr>
      <w:r w:rsidRPr="00BF1D07">
        <w:rPr>
          <w:rFonts w:ascii="Calibri" w:eastAsia="Calibri" w:hAnsi="Calibri"/>
          <w:b/>
          <w:highlight w:val="yellow"/>
        </w:rPr>
        <w:t>Εκπόνηση στοχευμένων προϊοντικών ερευνών αγοράς</w:t>
      </w:r>
      <w:r w:rsidRPr="00323253">
        <w:rPr>
          <w:rFonts w:ascii="Calibri" w:eastAsia="Calibri" w:hAnsi="Calibri"/>
        </w:rPr>
        <w:t xml:space="preserve"> σε χώρες του εξωτερικού και ανάπτυξης </w:t>
      </w:r>
      <w:r w:rsidRPr="00BF1D07">
        <w:rPr>
          <w:rFonts w:ascii="Calibri" w:eastAsia="Calibri" w:hAnsi="Calibri"/>
          <w:highlight w:val="yellow"/>
        </w:rPr>
        <w:t>διεθνούς «</w:t>
      </w:r>
      <w:proofErr w:type="spellStart"/>
      <w:r w:rsidRPr="00BF1D07">
        <w:rPr>
          <w:rFonts w:ascii="Calibri" w:eastAsia="Calibri" w:hAnsi="Calibri"/>
          <w:highlight w:val="yellow"/>
        </w:rPr>
        <w:t>brand</w:t>
      </w:r>
      <w:proofErr w:type="spellEnd"/>
      <w:r w:rsidRPr="00BF1D07">
        <w:rPr>
          <w:rFonts w:ascii="Calibri" w:eastAsia="Calibri" w:hAnsi="Calibri"/>
          <w:highlight w:val="yellow"/>
        </w:rPr>
        <w:t xml:space="preserve"> </w:t>
      </w:r>
      <w:proofErr w:type="spellStart"/>
      <w:r w:rsidRPr="00BF1D07">
        <w:rPr>
          <w:rFonts w:ascii="Calibri" w:eastAsia="Calibri" w:hAnsi="Calibri"/>
          <w:highlight w:val="yellow"/>
        </w:rPr>
        <w:t>name</w:t>
      </w:r>
      <w:proofErr w:type="spellEnd"/>
      <w:r w:rsidRPr="00BF1D07">
        <w:rPr>
          <w:rFonts w:ascii="Calibri" w:eastAsia="Calibri" w:hAnsi="Calibri"/>
          <w:highlight w:val="yellow"/>
        </w:rPr>
        <w:t>»</w:t>
      </w:r>
      <w:r w:rsidRPr="00323253">
        <w:rPr>
          <w:rFonts w:ascii="Calibri" w:eastAsia="Calibri" w:hAnsi="Calibri"/>
        </w:rPr>
        <w:t xml:space="preserve"> για διεθνώς εμπορεύσιμα</w:t>
      </w:r>
      <w:r w:rsidR="006E49DF">
        <w:rPr>
          <w:rFonts w:ascii="Calibri" w:eastAsia="Calibri" w:hAnsi="Calibri"/>
        </w:rPr>
        <w:t>, αλλά</w:t>
      </w:r>
      <w:r w:rsidRPr="00323253">
        <w:rPr>
          <w:rFonts w:ascii="Calibri" w:eastAsia="Calibri" w:hAnsi="Calibri"/>
        </w:rPr>
        <w:t xml:space="preserve"> εγχωρίως παραγόμενα</w:t>
      </w:r>
      <w:r w:rsidR="006E49DF">
        <w:rPr>
          <w:rFonts w:ascii="Calibri" w:eastAsia="Calibri" w:hAnsi="Calibri"/>
        </w:rPr>
        <w:t>,</w:t>
      </w:r>
      <w:r w:rsidRPr="00323253">
        <w:rPr>
          <w:rFonts w:ascii="Calibri" w:eastAsia="Calibri" w:hAnsi="Calibri"/>
        </w:rPr>
        <w:t xml:space="preserve"> προϊόντα της μεταποίησης, και για τους κλάδους των τροφίμων και ποτών και των δομικών υλικών, κατά προτεραιότητα.</w:t>
      </w:r>
    </w:p>
    <w:p w:rsidR="009C2445" w:rsidRPr="00D829F8" w:rsidRDefault="009C2445" w:rsidP="00D70B56">
      <w:pPr>
        <w:numPr>
          <w:ilvl w:val="0"/>
          <w:numId w:val="31"/>
        </w:numPr>
        <w:spacing w:after="160" w:line="259" w:lineRule="auto"/>
        <w:ind w:left="567" w:hanging="567"/>
        <w:contextualSpacing/>
        <w:jc w:val="both"/>
        <w:rPr>
          <w:rFonts w:ascii="Calibri" w:eastAsia="Calibri" w:hAnsi="Calibri"/>
          <w:b/>
        </w:rPr>
      </w:pPr>
      <w:r w:rsidRPr="00323253">
        <w:rPr>
          <w:rFonts w:ascii="Calibri" w:eastAsia="Calibri" w:hAnsi="Calibri"/>
        </w:rPr>
        <w:t xml:space="preserve">Υποστήριξη της </w:t>
      </w:r>
      <w:r w:rsidRPr="00BF1D07">
        <w:rPr>
          <w:rFonts w:ascii="Calibri" w:eastAsia="Calibri" w:hAnsi="Calibri"/>
          <w:b/>
          <w:highlight w:val="yellow"/>
        </w:rPr>
        <w:t>ανάπτυξης δικτύων διανομής</w:t>
      </w:r>
      <w:r w:rsidRPr="00323253">
        <w:rPr>
          <w:rFonts w:ascii="Calibri" w:eastAsia="Calibri" w:hAnsi="Calibri"/>
        </w:rPr>
        <w:t xml:space="preserve"> Ελληνικών επιχειρήσεων που παράγουν διεθνώς εμπορεύσιμα προϊόντα, </w:t>
      </w:r>
      <w:r w:rsidRPr="00D829F8">
        <w:rPr>
          <w:rFonts w:ascii="Calibri" w:eastAsia="Calibri" w:hAnsi="Calibri"/>
          <w:b/>
        </w:rPr>
        <w:t>σε αγορές του εξωτερικού.</w:t>
      </w:r>
    </w:p>
    <w:p w:rsidR="009C2445" w:rsidRPr="00323253" w:rsidRDefault="009C2445" w:rsidP="00D70B56">
      <w:pPr>
        <w:numPr>
          <w:ilvl w:val="0"/>
          <w:numId w:val="31"/>
        </w:numPr>
        <w:spacing w:after="160" w:line="259" w:lineRule="auto"/>
        <w:ind w:left="567" w:hanging="567"/>
        <w:contextualSpacing/>
        <w:jc w:val="both"/>
        <w:rPr>
          <w:rFonts w:ascii="Calibri" w:eastAsia="Calibri" w:hAnsi="Calibri"/>
        </w:rPr>
      </w:pPr>
      <w:r w:rsidRPr="00BF1D07">
        <w:rPr>
          <w:rFonts w:ascii="Calibri" w:eastAsia="Calibri" w:hAnsi="Calibri"/>
          <w:b/>
          <w:highlight w:val="yellow"/>
        </w:rPr>
        <w:t>Δημιουργία «Κέντρου Σχεδιασμού</w:t>
      </w:r>
      <w:r w:rsidR="006E49DF" w:rsidRPr="00BF1D07">
        <w:rPr>
          <w:rFonts w:ascii="Calibri" w:eastAsia="Calibri" w:hAnsi="Calibri"/>
          <w:b/>
          <w:highlight w:val="yellow"/>
        </w:rPr>
        <w:t xml:space="preserve"> Βιομηχανικών Π</w:t>
      </w:r>
      <w:r w:rsidRPr="00BF1D07">
        <w:rPr>
          <w:rFonts w:ascii="Calibri" w:eastAsia="Calibri" w:hAnsi="Calibri"/>
          <w:b/>
          <w:highlight w:val="yellow"/>
        </w:rPr>
        <w:t>ροϊόντων</w:t>
      </w:r>
      <w:r w:rsidR="006E49DF" w:rsidRPr="00BF1D07">
        <w:rPr>
          <w:rFonts w:ascii="Calibri" w:eastAsia="Calibri" w:hAnsi="Calibri"/>
          <w:b/>
          <w:highlight w:val="yellow"/>
        </w:rPr>
        <w:t>»</w:t>
      </w:r>
      <w:r w:rsidRPr="00BF1D07">
        <w:rPr>
          <w:rFonts w:ascii="Calibri" w:eastAsia="Calibri" w:hAnsi="Calibri"/>
          <w:b/>
          <w:highlight w:val="yellow"/>
        </w:rPr>
        <w:t>,</w:t>
      </w:r>
      <w:r w:rsidRPr="00323253">
        <w:rPr>
          <w:rFonts w:ascii="Calibri" w:eastAsia="Calibri" w:hAnsi="Calibri"/>
        </w:rPr>
        <w:t xml:space="preserve"> το οποίο θα αφορά όλα τα προϊόντα, όλων ανεξαιρέτως των κλάδων της μεταποίησης.</w:t>
      </w:r>
    </w:p>
    <w:p w:rsidR="009C2445" w:rsidRDefault="009C2445" w:rsidP="00D70B56">
      <w:pPr>
        <w:numPr>
          <w:ilvl w:val="0"/>
          <w:numId w:val="31"/>
        </w:numPr>
        <w:spacing w:after="160" w:line="259" w:lineRule="auto"/>
        <w:ind w:left="567" w:hanging="567"/>
        <w:contextualSpacing/>
        <w:jc w:val="both"/>
        <w:rPr>
          <w:rFonts w:ascii="Calibri" w:eastAsia="Calibri" w:hAnsi="Calibri"/>
        </w:rPr>
      </w:pPr>
      <w:r w:rsidRPr="00D829F8">
        <w:rPr>
          <w:rFonts w:ascii="Calibri" w:eastAsia="Calibri" w:hAnsi="Calibri"/>
          <w:b/>
        </w:rPr>
        <w:t xml:space="preserve">Θέσπιση </w:t>
      </w:r>
      <w:r w:rsidRPr="00BF1D07">
        <w:rPr>
          <w:rFonts w:ascii="Calibri" w:eastAsia="Calibri" w:hAnsi="Calibri"/>
          <w:b/>
          <w:highlight w:val="yellow"/>
        </w:rPr>
        <w:t>ειδικών κεφαλαιουχικών και φορολογικών κινήτρων για διεθνοποιημένες επιχειρήσεις.</w:t>
      </w:r>
      <w:r w:rsidRPr="00323253">
        <w:rPr>
          <w:rFonts w:ascii="Calibri" w:eastAsia="Calibri" w:hAnsi="Calibri"/>
        </w:rPr>
        <w:t xml:space="preserve"> Ενδεικτικά παραδείγματα κινήτρων: α) Έμμεση στήριξη της χρηματοδότησης των εξαγωγών με την παροχή εγγυήσεων ή/και την προεξόφληση απαιτήσεων του εξωτερικού από </w:t>
      </w:r>
      <w:r w:rsidRPr="00323253">
        <w:rPr>
          <w:rFonts w:ascii="Calibri" w:eastAsia="Calibri" w:hAnsi="Calibri"/>
        </w:rPr>
        <w:lastRenderedPageBreak/>
        <w:t>εθνικό φορέα, β) Μείωση του συντελεστή φορολογίας εισοδήματος για επαρκώς διεθνοποιημένες επιχειρήσεις, και, γ) Επιδότηση των εργοδοτικών εισφορών για την πρόσληψη στελεχών που θα απασχοληθούν σε τμήματα εξαγωγών ελληνικών επιχειρήσεων.</w:t>
      </w:r>
    </w:p>
    <w:p w:rsidR="00F86ABD" w:rsidRDefault="00F86ABD" w:rsidP="009C2445">
      <w:pPr>
        <w:jc w:val="both"/>
        <w:rPr>
          <w:rFonts w:ascii="Calibri" w:eastAsia="Calibri" w:hAnsi="Calibri"/>
        </w:rPr>
      </w:pPr>
    </w:p>
    <w:p w:rsidR="009C2445" w:rsidRDefault="009C2445" w:rsidP="00D70B56">
      <w:pPr>
        <w:ind w:left="567" w:hanging="567"/>
        <w:jc w:val="both"/>
        <w:rPr>
          <w:rFonts w:ascii="Calibri" w:eastAsia="Calibri" w:hAnsi="Calibri"/>
          <w:b/>
          <w:color w:val="1F3864"/>
          <w:sz w:val="28"/>
          <w:szCs w:val="32"/>
        </w:rPr>
      </w:pPr>
      <w:r w:rsidRPr="00323253">
        <w:rPr>
          <w:rFonts w:ascii="Calibri" w:eastAsia="Calibri" w:hAnsi="Calibri"/>
          <w:b/>
          <w:color w:val="1F3864"/>
          <w:sz w:val="28"/>
          <w:szCs w:val="32"/>
        </w:rPr>
        <w:t>Γ]</w:t>
      </w:r>
      <w:r w:rsidRPr="00323253">
        <w:rPr>
          <w:rFonts w:ascii="Calibri" w:eastAsia="Calibri" w:hAnsi="Calibri"/>
          <w:b/>
          <w:color w:val="1F3864"/>
          <w:sz w:val="28"/>
          <w:szCs w:val="32"/>
        </w:rPr>
        <w:tab/>
      </w:r>
      <w:r w:rsidR="006E49DF">
        <w:rPr>
          <w:rFonts w:ascii="Calibri" w:eastAsia="Calibri" w:hAnsi="Calibri"/>
          <w:b/>
          <w:color w:val="1F3864"/>
          <w:sz w:val="28"/>
          <w:szCs w:val="32"/>
        </w:rPr>
        <w:t xml:space="preserve">ΣΧΕΔΙΑΣΜΟΣ &amp; ΥΛΟΠΟΙΗΣΗ ΔΡΑΣΕΩΝ </w:t>
      </w:r>
      <w:r w:rsidRPr="00323253">
        <w:rPr>
          <w:rFonts w:ascii="Calibri" w:eastAsia="Calibri" w:hAnsi="Calibri"/>
          <w:b/>
          <w:color w:val="1F3864"/>
          <w:sz w:val="28"/>
          <w:szCs w:val="32"/>
        </w:rPr>
        <w:t xml:space="preserve">ΚΑΙΝΟΤΟΜΙΑΣ </w:t>
      </w:r>
      <w:r w:rsidR="006E49DF">
        <w:rPr>
          <w:rFonts w:ascii="Calibri" w:eastAsia="Calibri" w:hAnsi="Calibri"/>
          <w:b/>
          <w:color w:val="1F3864"/>
          <w:sz w:val="28"/>
          <w:szCs w:val="32"/>
        </w:rPr>
        <w:t xml:space="preserve">&amp; </w:t>
      </w:r>
      <w:r w:rsidRPr="00323253">
        <w:rPr>
          <w:rFonts w:ascii="Calibri" w:eastAsia="Calibri" w:hAnsi="Calibri"/>
          <w:b/>
          <w:color w:val="1F3864"/>
          <w:sz w:val="28"/>
          <w:szCs w:val="32"/>
        </w:rPr>
        <w:t>ΜΕΤΑΦΟΡΑΣ ΤΕΧΝΟΛΟΓΙΑΣ</w:t>
      </w:r>
    </w:p>
    <w:p w:rsidR="006E49DF" w:rsidRPr="00323253" w:rsidRDefault="006E49DF" w:rsidP="009C2445">
      <w:pPr>
        <w:jc w:val="both"/>
        <w:rPr>
          <w:rFonts w:ascii="Calibri" w:eastAsia="Calibri" w:hAnsi="Calibri"/>
          <w:b/>
          <w:color w:val="1F3864"/>
          <w:sz w:val="28"/>
          <w:szCs w:val="32"/>
        </w:rPr>
      </w:pPr>
    </w:p>
    <w:p w:rsidR="009C2445" w:rsidRPr="00323253" w:rsidRDefault="009C2445" w:rsidP="00D70B56">
      <w:pPr>
        <w:numPr>
          <w:ilvl w:val="0"/>
          <w:numId w:val="29"/>
        </w:numPr>
        <w:spacing w:after="160" w:line="259" w:lineRule="auto"/>
        <w:ind w:left="567" w:hanging="567"/>
        <w:contextualSpacing/>
        <w:jc w:val="both"/>
        <w:rPr>
          <w:rFonts w:ascii="Calibri" w:eastAsia="Calibri" w:hAnsi="Calibri"/>
        </w:rPr>
      </w:pPr>
      <w:r w:rsidRPr="00D829F8">
        <w:rPr>
          <w:rFonts w:ascii="Calibri" w:eastAsia="Calibri" w:hAnsi="Calibri"/>
          <w:b/>
        </w:rPr>
        <w:t>Προτάσεις ειδικών έργων για τη βελτίωση της παραγωγικότητας</w:t>
      </w:r>
      <w:r w:rsidRPr="00323253">
        <w:rPr>
          <w:rFonts w:ascii="Calibri" w:eastAsia="Calibri" w:hAnsi="Calibri"/>
        </w:rPr>
        <w:t xml:space="preserve"> και την ενίσχυση της ανταγωνιστικότητας του </w:t>
      </w:r>
      <w:r w:rsidR="006E49DF" w:rsidRPr="00BF1D07">
        <w:rPr>
          <w:rFonts w:ascii="Calibri" w:eastAsia="Calibri" w:hAnsi="Calibri"/>
          <w:highlight w:val="yellow"/>
        </w:rPr>
        <w:t xml:space="preserve">περιφερειακού </w:t>
      </w:r>
      <w:r w:rsidRPr="00BF1D07">
        <w:rPr>
          <w:rFonts w:ascii="Calibri" w:eastAsia="Calibri" w:hAnsi="Calibri"/>
          <w:highlight w:val="yellow"/>
        </w:rPr>
        <w:t>παραγωγικού συστήματος</w:t>
      </w:r>
      <w:r w:rsidRPr="00323253">
        <w:rPr>
          <w:rFonts w:ascii="Calibri" w:eastAsia="Calibri" w:hAnsi="Calibri"/>
        </w:rPr>
        <w:t>, μέσω καινοτομίας και μεταφοράς τεχνολογίας:</w:t>
      </w:r>
    </w:p>
    <w:p w:rsidR="009C2445" w:rsidRPr="00323253" w:rsidRDefault="009C2445" w:rsidP="00D70B56">
      <w:pPr>
        <w:numPr>
          <w:ilvl w:val="0"/>
          <w:numId w:val="30"/>
        </w:numPr>
        <w:spacing w:after="160" w:line="259" w:lineRule="auto"/>
        <w:ind w:left="851" w:hanging="284"/>
        <w:contextualSpacing/>
        <w:jc w:val="both"/>
        <w:rPr>
          <w:rFonts w:ascii="Calibri" w:eastAsia="Calibri" w:hAnsi="Calibri"/>
        </w:rPr>
      </w:pPr>
      <w:r w:rsidRPr="00BF1D07">
        <w:rPr>
          <w:rFonts w:ascii="Calibri" w:eastAsia="Calibri" w:hAnsi="Calibri"/>
          <w:highlight w:val="yellow"/>
        </w:rPr>
        <w:t>Μείωσης λειτουργικού κόστους</w:t>
      </w:r>
      <w:r w:rsidRPr="00323253">
        <w:rPr>
          <w:rFonts w:ascii="Calibri" w:eastAsia="Calibri" w:hAnsi="Calibri"/>
        </w:rPr>
        <w:t xml:space="preserve"> με την εφαρμογή καινοτόμων μεθόδων και υπηρεσιών, στους τομείς: διαχείρισης της εφοδιαστικής αλυσίδας, οργάνωσης παραγωγής, οργάνωσης και διοίκησης, ενεργειακής διαχείρισης βιομηχανικών κτιριακών εγκαταστάσεων, ανανεώσιμων πηγών ενέργειας, και, ανάπτυξης διαδικασιών </w:t>
      </w:r>
      <w:r w:rsidRPr="00323253">
        <w:rPr>
          <w:rFonts w:ascii="Calibri" w:eastAsia="Calibri" w:hAnsi="Calibri"/>
          <w:lang w:val="en-US"/>
        </w:rPr>
        <w:t>marketing</w:t>
      </w:r>
      <w:r w:rsidRPr="00323253">
        <w:rPr>
          <w:rFonts w:ascii="Calibri" w:eastAsia="Calibri" w:hAnsi="Calibri"/>
        </w:rPr>
        <w:t xml:space="preserve"> μέσω της αξιοποίησης των μέσων κοινωνικής δικτύωσης.</w:t>
      </w:r>
    </w:p>
    <w:p w:rsidR="00E85940" w:rsidRPr="00BF1D07" w:rsidRDefault="009C2445" w:rsidP="00D70B56">
      <w:pPr>
        <w:numPr>
          <w:ilvl w:val="0"/>
          <w:numId w:val="30"/>
        </w:numPr>
        <w:spacing w:after="160" w:line="259" w:lineRule="auto"/>
        <w:ind w:left="851" w:hanging="284"/>
        <w:contextualSpacing/>
        <w:jc w:val="both"/>
        <w:rPr>
          <w:rFonts w:ascii="Calibri" w:eastAsia="Calibri" w:hAnsi="Calibri"/>
          <w:highlight w:val="yellow"/>
        </w:rPr>
      </w:pPr>
      <w:r w:rsidRPr="00BF1D07">
        <w:rPr>
          <w:rFonts w:ascii="Calibri" w:eastAsia="Calibri" w:hAnsi="Calibri"/>
          <w:highlight w:val="yellow"/>
        </w:rPr>
        <w:t>Οργάνωση Τμημάτων Έρευνας και Ανάπτυξης σε μεταποιητικές επιχειρήσεις</w:t>
      </w:r>
      <w:r w:rsidR="00E85940" w:rsidRPr="00BF1D07">
        <w:rPr>
          <w:rFonts w:ascii="Calibri" w:eastAsia="Calibri" w:hAnsi="Calibri"/>
          <w:highlight w:val="yellow"/>
        </w:rPr>
        <w:t>.</w:t>
      </w:r>
    </w:p>
    <w:p w:rsidR="00E85940" w:rsidRDefault="009C2445" w:rsidP="00D70B56">
      <w:pPr>
        <w:numPr>
          <w:ilvl w:val="0"/>
          <w:numId w:val="30"/>
        </w:numPr>
        <w:spacing w:after="160" w:line="259" w:lineRule="auto"/>
        <w:ind w:left="851" w:hanging="284"/>
        <w:contextualSpacing/>
        <w:jc w:val="both"/>
        <w:rPr>
          <w:rFonts w:ascii="Calibri" w:eastAsia="Calibri" w:hAnsi="Calibri"/>
        </w:rPr>
      </w:pPr>
      <w:r w:rsidRPr="00323253">
        <w:rPr>
          <w:rFonts w:ascii="Calibri" w:eastAsia="Calibri" w:hAnsi="Calibri"/>
        </w:rPr>
        <w:t xml:space="preserve">Παροχή κινήτρων για τη </w:t>
      </w:r>
      <w:r w:rsidRPr="00BF1D07">
        <w:rPr>
          <w:rFonts w:ascii="Calibri" w:eastAsia="Calibri" w:hAnsi="Calibri"/>
          <w:highlight w:val="yellow"/>
        </w:rPr>
        <w:t>μεταφορά τεχνογνωσίας και τεχνολογίας σε επιχειρήσεις του κλάδου των τροφίμων και των ποτών,</w:t>
      </w:r>
      <w:r w:rsidRPr="00323253">
        <w:rPr>
          <w:rFonts w:ascii="Calibri" w:eastAsia="Calibri" w:hAnsi="Calibri"/>
        </w:rPr>
        <w:t xml:space="preserve"> για την ανάπτυξη νέων προϊόντων για ειδικές ομάδες πληθυσμού, υψηλής προστιθέμενης αξίας και διεθνώς ανταγωνιστικών</w:t>
      </w:r>
    </w:p>
    <w:p w:rsidR="009C2445" w:rsidRPr="00E85940" w:rsidRDefault="009C2445" w:rsidP="00D70B56">
      <w:pPr>
        <w:numPr>
          <w:ilvl w:val="0"/>
          <w:numId w:val="30"/>
        </w:numPr>
        <w:spacing w:after="160" w:line="259" w:lineRule="auto"/>
        <w:ind w:left="851" w:hanging="284"/>
        <w:contextualSpacing/>
        <w:jc w:val="both"/>
        <w:rPr>
          <w:rFonts w:ascii="Calibri" w:eastAsia="Calibri" w:hAnsi="Calibri"/>
        </w:rPr>
      </w:pPr>
      <w:r w:rsidRPr="00E85940">
        <w:rPr>
          <w:rFonts w:ascii="Calibri" w:eastAsia="Calibri" w:hAnsi="Calibri"/>
        </w:rPr>
        <w:t xml:space="preserve">Έμπρακτη </w:t>
      </w:r>
      <w:r w:rsidRPr="00E85940">
        <w:rPr>
          <w:rFonts w:ascii="Calibri" w:eastAsia="Calibri" w:hAnsi="Calibri"/>
          <w:b/>
        </w:rPr>
        <w:t xml:space="preserve">υποστήριξη εμβληματικών πρωτοβουλιών για την ενίσχυση της καινοτομικότητας του </w:t>
      </w:r>
      <w:r w:rsidR="006E49DF" w:rsidRPr="00E85940">
        <w:rPr>
          <w:rFonts w:ascii="Calibri" w:eastAsia="Calibri" w:hAnsi="Calibri"/>
          <w:b/>
        </w:rPr>
        <w:t xml:space="preserve">περιφερειακού </w:t>
      </w:r>
      <w:r w:rsidRPr="00E85940">
        <w:rPr>
          <w:rFonts w:ascii="Calibri" w:eastAsia="Calibri" w:hAnsi="Calibri"/>
          <w:b/>
        </w:rPr>
        <w:t>παραγωγικού συστήματος</w:t>
      </w:r>
      <w:r w:rsidR="00E85940">
        <w:rPr>
          <w:rFonts w:ascii="Calibri" w:eastAsia="Calibri" w:hAnsi="Calibri"/>
          <w:b/>
        </w:rPr>
        <w:t>.</w:t>
      </w:r>
      <w:r w:rsidR="00E85940">
        <w:rPr>
          <w:rFonts w:ascii="Calibri" w:eastAsia="Calibri" w:hAnsi="Calibri"/>
        </w:rPr>
        <w:t xml:space="preserve"> </w:t>
      </w:r>
      <w:r w:rsidR="006E49DF" w:rsidRPr="00E85940">
        <w:rPr>
          <w:rFonts w:ascii="Calibri" w:eastAsia="Calibri" w:hAnsi="Calibri"/>
        </w:rPr>
        <w:t>Ειδικότερα για τη Θεσσαλονίκη προτείνουμε την υποστήριξη των ακόλουθων πρωτοβουλιών:</w:t>
      </w:r>
      <w:r w:rsidR="00E85940" w:rsidRPr="00E85940">
        <w:rPr>
          <w:rFonts w:ascii="Calibri" w:eastAsia="Calibri" w:hAnsi="Calibri"/>
        </w:rPr>
        <w:t xml:space="preserve"> α) </w:t>
      </w:r>
      <w:r w:rsidR="00E85940">
        <w:rPr>
          <w:rFonts w:ascii="Calibri" w:eastAsia="Calibri" w:hAnsi="Calibri"/>
        </w:rPr>
        <w:t xml:space="preserve">Ζώνη Καινοτομίας, β) </w:t>
      </w:r>
      <w:proofErr w:type="spellStart"/>
      <w:r w:rsidRPr="00E85940">
        <w:rPr>
          <w:rFonts w:ascii="Calibri" w:eastAsia="Calibri" w:hAnsi="Calibri"/>
          <w:lang w:val="en-US"/>
        </w:rPr>
        <w:t>ThessI</w:t>
      </w:r>
      <w:r w:rsidR="00E85940">
        <w:rPr>
          <w:rFonts w:ascii="Calibri" w:eastAsia="Calibri" w:hAnsi="Calibri"/>
          <w:lang w:val="en-US"/>
        </w:rPr>
        <w:t>NTEC</w:t>
      </w:r>
      <w:proofErr w:type="spellEnd"/>
      <w:r w:rsidR="00E85940" w:rsidRPr="00E85940">
        <w:rPr>
          <w:rFonts w:ascii="Calibri" w:eastAsia="Calibri" w:hAnsi="Calibri"/>
        </w:rPr>
        <w:t xml:space="preserve">, </w:t>
      </w:r>
      <w:r w:rsidR="00E85940">
        <w:rPr>
          <w:rFonts w:ascii="Calibri" w:eastAsia="Calibri" w:hAnsi="Calibri"/>
        </w:rPr>
        <w:t xml:space="preserve">γ) </w:t>
      </w:r>
      <w:r w:rsidRPr="00E85940">
        <w:rPr>
          <w:rFonts w:ascii="Calibri" w:eastAsia="Calibri" w:hAnsi="Calibri"/>
        </w:rPr>
        <w:t>Ίδρυμα Προηγμένων Μελετών ΑΠΘ</w:t>
      </w:r>
      <w:r w:rsidR="00E85940">
        <w:rPr>
          <w:rFonts w:ascii="Calibri" w:eastAsia="Calibri" w:hAnsi="Calibri"/>
        </w:rPr>
        <w:t>, κλπ..</w:t>
      </w:r>
    </w:p>
    <w:p w:rsidR="006E49DF" w:rsidRDefault="006E49DF" w:rsidP="006E49DF">
      <w:pPr>
        <w:spacing w:after="160" w:line="259" w:lineRule="auto"/>
        <w:ind w:left="1440"/>
        <w:contextualSpacing/>
        <w:jc w:val="both"/>
        <w:rPr>
          <w:rFonts w:ascii="Calibri" w:eastAsia="Calibri" w:hAnsi="Calibri"/>
        </w:rPr>
      </w:pPr>
    </w:p>
    <w:p w:rsidR="009C2445" w:rsidRDefault="009C2445" w:rsidP="00D70B56">
      <w:pPr>
        <w:ind w:left="567" w:hanging="567"/>
        <w:jc w:val="both"/>
        <w:rPr>
          <w:rFonts w:ascii="Calibri" w:eastAsia="Calibri" w:hAnsi="Calibri"/>
          <w:b/>
          <w:color w:val="1F3864"/>
          <w:sz w:val="28"/>
          <w:szCs w:val="32"/>
        </w:rPr>
      </w:pPr>
      <w:r w:rsidRPr="00323253">
        <w:rPr>
          <w:rFonts w:ascii="Calibri" w:eastAsia="Calibri" w:hAnsi="Calibri"/>
          <w:b/>
          <w:color w:val="1F3864"/>
          <w:sz w:val="28"/>
          <w:szCs w:val="32"/>
        </w:rPr>
        <w:t>Δ]</w:t>
      </w:r>
      <w:r w:rsidRPr="00323253">
        <w:rPr>
          <w:rFonts w:ascii="Calibri" w:eastAsia="Calibri" w:hAnsi="Calibri"/>
          <w:b/>
          <w:color w:val="1F3864"/>
          <w:sz w:val="28"/>
          <w:szCs w:val="32"/>
        </w:rPr>
        <w:tab/>
        <w:t>ΥΠΟΔΟΜΕΣ ΣΤΗΡΙΞΗΣ ΜΕΤΑΠΟΙΗΤΙΚΗΣ ΔΡΑΣΤΗΡΙΟΤΗΤΑΣ</w:t>
      </w:r>
      <w:r w:rsidR="006E49DF">
        <w:rPr>
          <w:rFonts w:ascii="Calibri" w:eastAsia="Calibri" w:hAnsi="Calibri"/>
          <w:b/>
          <w:color w:val="1F3864"/>
          <w:sz w:val="28"/>
          <w:szCs w:val="32"/>
        </w:rPr>
        <w:t xml:space="preserve"> – ΕΙΔΙΚΑ ΠΡΟΒΛΗΜΑΤΑ</w:t>
      </w:r>
    </w:p>
    <w:p w:rsidR="006E49DF" w:rsidRPr="00323253" w:rsidRDefault="006E49DF" w:rsidP="009C2445">
      <w:pPr>
        <w:jc w:val="both"/>
        <w:rPr>
          <w:rFonts w:ascii="Calibri" w:eastAsia="Calibri" w:hAnsi="Calibri"/>
          <w:b/>
          <w:color w:val="1F3864"/>
          <w:sz w:val="28"/>
          <w:szCs w:val="32"/>
        </w:rPr>
      </w:pPr>
    </w:p>
    <w:p w:rsidR="009C2445" w:rsidRPr="00323253" w:rsidRDefault="009C2445" w:rsidP="00D70B56">
      <w:pPr>
        <w:numPr>
          <w:ilvl w:val="0"/>
          <w:numId w:val="28"/>
        </w:numPr>
        <w:spacing w:after="160" w:line="259" w:lineRule="auto"/>
        <w:ind w:left="567" w:hanging="567"/>
        <w:contextualSpacing/>
        <w:jc w:val="both"/>
        <w:rPr>
          <w:rFonts w:ascii="Calibri" w:eastAsia="Calibri" w:hAnsi="Calibri"/>
        </w:rPr>
      </w:pPr>
      <w:r w:rsidRPr="00D829F8">
        <w:rPr>
          <w:rFonts w:ascii="Calibri" w:eastAsia="Calibri" w:hAnsi="Calibri"/>
          <w:b/>
        </w:rPr>
        <w:t>Αντιμετώπιση των προβλημάτων</w:t>
      </w:r>
      <w:r w:rsidRPr="00323253">
        <w:rPr>
          <w:rFonts w:ascii="Calibri" w:eastAsia="Calibri" w:hAnsi="Calibri"/>
        </w:rPr>
        <w:t xml:space="preserve"> της μεγαλύτερης Βιομηχανικής Περιοχής της χώρας της </w:t>
      </w:r>
      <w:r w:rsidRPr="00BF1D07">
        <w:rPr>
          <w:rFonts w:ascii="Calibri" w:eastAsia="Calibri" w:hAnsi="Calibri"/>
          <w:b/>
          <w:highlight w:val="yellow"/>
        </w:rPr>
        <w:t>ΒΙ.ΠΕ. Σίνδου,</w:t>
      </w:r>
      <w:r w:rsidRPr="00323253">
        <w:rPr>
          <w:rFonts w:ascii="Calibri" w:eastAsia="Calibri" w:hAnsi="Calibri"/>
        </w:rPr>
        <w:t xml:space="preserve"> με κυριότερα αυτό της ασφάλειας και της καθαριότητας.</w:t>
      </w:r>
    </w:p>
    <w:p w:rsidR="009C2445" w:rsidRPr="00323253" w:rsidRDefault="009C2445" w:rsidP="00D70B56">
      <w:pPr>
        <w:numPr>
          <w:ilvl w:val="0"/>
          <w:numId w:val="28"/>
        </w:numPr>
        <w:spacing w:after="160" w:line="259" w:lineRule="auto"/>
        <w:ind w:left="567" w:hanging="567"/>
        <w:contextualSpacing/>
        <w:jc w:val="both"/>
        <w:rPr>
          <w:rFonts w:ascii="Calibri" w:eastAsia="Calibri" w:hAnsi="Calibri"/>
        </w:rPr>
      </w:pPr>
      <w:r w:rsidRPr="00BF1D07">
        <w:rPr>
          <w:rFonts w:ascii="Calibri" w:eastAsia="Calibri" w:hAnsi="Calibri"/>
          <w:b/>
          <w:highlight w:val="yellow"/>
        </w:rPr>
        <w:t>Ανταποδοτικότητα υπηρεσιών από τους οικείους ΟΤΑ</w:t>
      </w:r>
      <w:r w:rsidRPr="00323253">
        <w:rPr>
          <w:rFonts w:ascii="Calibri" w:eastAsia="Calibri" w:hAnsi="Calibri"/>
        </w:rPr>
        <w:t xml:space="preserve"> στις εγκατεστημένες επιχειρήσεις εντός Βιομηχανικών Περιοχών.</w:t>
      </w:r>
    </w:p>
    <w:p w:rsidR="009C2445" w:rsidRPr="00323253" w:rsidRDefault="009C2445" w:rsidP="00D70B56">
      <w:pPr>
        <w:numPr>
          <w:ilvl w:val="0"/>
          <w:numId w:val="28"/>
        </w:numPr>
        <w:spacing w:after="160" w:line="259" w:lineRule="auto"/>
        <w:ind w:left="567" w:hanging="567"/>
        <w:contextualSpacing/>
        <w:jc w:val="both"/>
        <w:rPr>
          <w:rFonts w:ascii="Calibri" w:eastAsia="Calibri" w:hAnsi="Calibri"/>
        </w:rPr>
      </w:pPr>
      <w:r w:rsidRPr="00D829F8">
        <w:rPr>
          <w:rFonts w:ascii="Calibri" w:eastAsia="Calibri" w:hAnsi="Calibri"/>
          <w:b/>
        </w:rPr>
        <w:t xml:space="preserve">Νομοθετική πρωτοβουλία για το χαρακτηρισμό των </w:t>
      </w:r>
      <w:r w:rsidRPr="00BF1D07">
        <w:rPr>
          <w:rFonts w:ascii="Calibri" w:eastAsia="Calibri" w:hAnsi="Calibri"/>
          <w:b/>
          <w:highlight w:val="yellow"/>
        </w:rPr>
        <w:t>άτυπων βιομηχανικών συγκεντρώσεων της Κεντρικής Μακεδονίας σε «οργανωμένους υποδοχείς».</w:t>
      </w:r>
      <w:r w:rsidRPr="00323253">
        <w:rPr>
          <w:rFonts w:ascii="Calibri" w:eastAsia="Calibri" w:hAnsi="Calibri"/>
        </w:rPr>
        <w:t xml:space="preserve"> Ενδεικτικές άτυπες βιομηχανικές συγκεντρώσεις που πρέπει να τεθούν σε προτεραιότητα προς χαρακτηρισμό: Καλοχώρι Θεσσαλονίκης, Λάκκωμα Χαλκιδικής και Νέα Σάντα Κιλκίς. </w:t>
      </w:r>
    </w:p>
    <w:p w:rsidR="009C2445" w:rsidRPr="00323253" w:rsidRDefault="009C2445" w:rsidP="00D70B56">
      <w:pPr>
        <w:numPr>
          <w:ilvl w:val="0"/>
          <w:numId w:val="28"/>
        </w:numPr>
        <w:spacing w:after="160" w:line="259" w:lineRule="auto"/>
        <w:ind w:left="567" w:hanging="567"/>
        <w:contextualSpacing/>
        <w:jc w:val="both"/>
        <w:rPr>
          <w:rFonts w:ascii="Calibri" w:eastAsia="Calibri" w:hAnsi="Calibri"/>
        </w:rPr>
      </w:pPr>
      <w:r w:rsidRPr="00D829F8">
        <w:rPr>
          <w:rFonts w:ascii="Calibri" w:eastAsia="Calibri" w:hAnsi="Calibri"/>
          <w:b/>
        </w:rPr>
        <w:t xml:space="preserve">Μετεξέλιξη </w:t>
      </w:r>
      <w:r w:rsidRPr="00BF1D07">
        <w:rPr>
          <w:rFonts w:ascii="Calibri" w:eastAsia="Calibri" w:hAnsi="Calibri"/>
          <w:b/>
          <w:highlight w:val="yellow"/>
        </w:rPr>
        <w:t xml:space="preserve">του λιμανιού της Θεσσαλονίκης σε Κέντρο </w:t>
      </w:r>
      <w:r w:rsidRPr="00BF1D07">
        <w:rPr>
          <w:rFonts w:ascii="Calibri" w:eastAsia="Calibri" w:hAnsi="Calibri"/>
          <w:b/>
          <w:highlight w:val="yellow"/>
          <w:lang w:val="en-US"/>
        </w:rPr>
        <w:t>Logistics</w:t>
      </w:r>
      <w:r w:rsidRPr="00BF1D07">
        <w:rPr>
          <w:rFonts w:ascii="Calibri" w:eastAsia="Calibri" w:hAnsi="Calibri"/>
          <w:b/>
          <w:highlight w:val="yellow"/>
        </w:rPr>
        <w:t>.</w:t>
      </w:r>
      <w:r w:rsidRPr="00323253">
        <w:rPr>
          <w:rFonts w:ascii="Calibri" w:eastAsia="Calibri" w:hAnsi="Calibri"/>
        </w:rPr>
        <w:t xml:space="preserve"> Αντιμετώπιση των ζητημάτων που αφορούν στην </w:t>
      </w:r>
      <w:r w:rsidRPr="00D829F8">
        <w:rPr>
          <w:rFonts w:ascii="Calibri" w:eastAsia="Calibri" w:hAnsi="Calibri"/>
          <w:b/>
        </w:rPr>
        <w:t xml:space="preserve">εύρυθμη λειτουργία του χώρου εναπόθεσης εμπορευματοκιβωτίων </w:t>
      </w:r>
      <w:r w:rsidRPr="00323253">
        <w:rPr>
          <w:rFonts w:ascii="Calibri" w:eastAsia="Calibri" w:hAnsi="Calibri"/>
        </w:rPr>
        <w:t>εντός του λιμένα της Θεσσαλονίκης</w:t>
      </w:r>
      <w:r w:rsidR="006E49DF">
        <w:rPr>
          <w:rFonts w:ascii="Calibri" w:eastAsia="Calibri" w:hAnsi="Calibri"/>
        </w:rPr>
        <w:t xml:space="preserve"> και διευθέτηση του προβλήματος λειτουργίας του τελωνείου στην Πύλη 16.</w:t>
      </w:r>
      <w:r w:rsidRPr="00323253">
        <w:rPr>
          <w:rFonts w:ascii="Calibri" w:eastAsia="Calibri" w:hAnsi="Calibri"/>
        </w:rPr>
        <w:t xml:space="preserve">. </w:t>
      </w:r>
    </w:p>
    <w:p w:rsidR="009C2445" w:rsidRDefault="009C2445" w:rsidP="00D70B56">
      <w:pPr>
        <w:numPr>
          <w:ilvl w:val="0"/>
          <w:numId w:val="28"/>
        </w:numPr>
        <w:spacing w:after="160" w:line="259" w:lineRule="auto"/>
        <w:ind w:left="567" w:hanging="567"/>
        <w:contextualSpacing/>
        <w:jc w:val="both"/>
        <w:rPr>
          <w:rFonts w:ascii="Calibri" w:eastAsia="Calibri" w:hAnsi="Calibri"/>
        </w:rPr>
      </w:pPr>
      <w:r w:rsidRPr="00D829F8">
        <w:rPr>
          <w:rFonts w:ascii="Calibri" w:eastAsia="Calibri" w:hAnsi="Calibri"/>
          <w:b/>
        </w:rPr>
        <w:t xml:space="preserve">Ανάπτυξη του </w:t>
      </w:r>
      <w:r w:rsidRPr="00BF1D07">
        <w:rPr>
          <w:rFonts w:ascii="Calibri" w:eastAsia="Calibri" w:hAnsi="Calibri"/>
          <w:b/>
          <w:highlight w:val="yellow"/>
        </w:rPr>
        <w:t>δικτύου παροχής φυσικού αερίου στις βιομηχανικές περιοχές</w:t>
      </w:r>
      <w:r w:rsidRPr="00323253">
        <w:rPr>
          <w:rFonts w:ascii="Calibri" w:eastAsia="Calibri" w:hAnsi="Calibri"/>
        </w:rPr>
        <w:t xml:space="preserve"> της Κεντρικής Μακεδονίας. </w:t>
      </w:r>
    </w:p>
    <w:p w:rsidR="00BA0628" w:rsidRPr="00EF6022" w:rsidRDefault="006E49DF" w:rsidP="00D70B56">
      <w:pPr>
        <w:numPr>
          <w:ilvl w:val="0"/>
          <w:numId w:val="28"/>
        </w:numPr>
        <w:spacing w:after="160" w:line="259" w:lineRule="auto"/>
        <w:ind w:left="567" w:hanging="567"/>
        <w:contextualSpacing/>
        <w:jc w:val="both"/>
        <w:rPr>
          <w:rFonts w:ascii="Calibri" w:eastAsia="Calibri" w:hAnsi="Calibri"/>
        </w:rPr>
      </w:pPr>
      <w:r w:rsidRPr="00EF6022">
        <w:rPr>
          <w:rFonts w:ascii="Calibri" w:eastAsia="Calibri" w:hAnsi="Calibri"/>
          <w:b/>
        </w:rPr>
        <w:t>Ανάπλαση του εκθεσιακού κέντρου της ΔΕΘ</w:t>
      </w:r>
      <w:r w:rsidRPr="00EF6022">
        <w:rPr>
          <w:rFonts w:ascii="Calibri" w:eastAsia="Calibri" w:hAnsi="Calibri"/>
        </w:rPr>
        <w:t xml:space="preserve"> στο κέντρο της Θεσσαλονίκης</w:t>
      </w: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Pr="00F006BC" w:rsidRDefault="00F3073E" w:rsidP="000106F1">
      <w:pPr>
        <w:jc w:val="center"/>
        <w:rPr>
          <w:rFonts w:ascii="Calibri" w:eastAsia="Calibri" w:hAnsi="Calibri"/>
          <w:b/>
          <w:color w:val="1F3864"/>
          <w:sz w:val="52"/>
          <w:szCs w:val="32"/>
        </w:rPr>
      </w:pPr>
      <w:r w:rsidRPr="00F006BC">
        <w:rPr>
          <w:rFonts w:ascii="Calibri" w:eastAsia="Calibri" w:hAnsi="Calibri"/>
          <w:b/>
          <w:color w:val="1F3864"/>
          <w:sz w:val="52"/>
          <w:szCs w:val="32"/>
        </w:rPr>
        <w:lastRenderedPageBreak/>
        <w:t>ΑΞΙΟΠΟΙΗΣΗ ΥΠΟΥΡΓΕΙΟΥ ΒΙΟΜΗΧΑΝΙΑΣ</w:t>
      </w:r>
    </w:p>
    <w:p w:rsidR="00F3073E" w:rsidRPr="00F006BC" w:rsidRDefault="00F3073E" w:rsidP="000106F1">
      <w:pPr>
        <w:pBdr>
          <w:bottom w:val="single" w:sz="4" w:space="1" w:color="auto"/>
        </w:pBdr>
        <w:jc w:val="center"/>
        <w:rPr>
          <w:rFonts w:ascii="Calibri" w:eastAsia="Calibri" w:hAnsi="Calibri"/>
          <w:b/>
          <w:color w:val="1F3864"/>
          <w:sz w:val="40"/>
          <w:szCs w:val="32"/>
        </w:rPr>
      </w:pPr>
      <w:r w:rsidRPr="00F006BC">
        <w:rPr>
          <w:rFonts w:ascii="Calibri" w:eastAsia="Calibri" w:hAnsi="Calibri"/>
          <w:b/>
          <w:color w:val="1F3864"/>
          <w:sz w:val="40"/>
          <w:szCs w:val="32"/>
        </w:rPr>
        <w:t xml:space="preserve">ΘΕΣΠΙΣΗ ΠΡΟΓΡΑΜΜΑΤΟΣ ΕΘΝΙΚΗΣ ΣΤΡΑΤΗΓΙΚΗΣ: «ΕΛΛΑΔΑ – </w:t>
      </w:r>
      <w:r w:rsidR="00F006BC">
        <w:rPr>
          <w:rFonts w:ascii="Calibri" w:eastAsia="Calibri" w:hAnsi="Calibri"/>
          <w:b/>
          <w:color w:val="1F3864"/>
          <w:sz w:val="40"/>
          <w:szCs w:val="32"/>
        </w:rPr>
        <w:t xml:space="preserve">ΒΙΟΜΗΧΑΝΙΑ - </w:t>
      </w:r>
      <w:r w:rsidRPr="000106F1">
        <w:rPr>
          <w:rFonts w:ascii="Calibri" w:eastAsia="Calibri" w:hAnsi="Calibri"/>
          <w:b/>
          <w:color w:val="1F3864"/>
          <w:sz w:val="40"/>
          <w:szCs w:val="32"/>
          <w:lang w:val="en-US"/>
        </w:rPr>
        <w:t>Industry</w:t>
      </w:r>
      <w:r w:rsidRPr="00F006BC">
        <w:rPr>
          <w:rFonts w:ascii="Calibri" w:eastAsia="Calibri" w:hAnsi="Calibri"/>
          <w:b/>
          <w:color w:val="1F3864"/>
          <w:sz w:val="40"/>
          <w:szCs w:val="32"/>
        </w:rPr>
        <w:t xml:space="preserve"> 4.0»</w:t>
      </w:r>
    </w:p>
    <w:p w:rsidR="00F3073E" w:rsidRDefault="00F3073E" w:rsidP="00BA0628">
      <w:pPr>
        <w:spacing w:after="160" w:line="259" w:lineRule="auto"/>
        <w:contextualSpacing/>
        <w:jc w:val="both"/>
        <w:rPr>
          <w:rFonts w:ascii="Calibri" w:eastAsia="Calibri" w:hAnsi="Calibri"/>
        </w:rPr>
      </w:pPr>
    </w:p>
    <w:p w:rsidR="000106F1" w:rsidRDefault="000106F1" w:rsidP="000106F1">
      <w:pPr>
        <w:spacing w:after="60"/>
        <w:jc w:val="both"/>
        <w:rPr>
          <w:rFonts w:ascii="Calibri" w:hAnsi="Calibri"/>
        </w:rPr>
      </w:pPr>
      <w:r>
        <w:rPr>
          <w:rFonts w:ascii="Calibri" w:hAnsi="Calibri"/>
        </w:rPr>
        <w:t>Για τη μετάβαση της βιομηχανίας στην ψηφιακή εποχή και την επιτυχημένη διαχείριση των προκλήσεων της 4</w:t>
      </w:r>
      <w:r w:rsidRPr="00C32CF4">
        <w:rPr>
          <w:rFonts w:ascii="Calibri" w:hAnsi="Calibri"/>
          <w:vertAlign w:val="superscript"/>
        </w:rPr>
        <w:t>ης</w:t>
      </w:r>
      <w:r>
        <w:rPr>
          <w:rFonts w:ascii="Calibri" w:hAnsi="Calibri"/>
        </w:rPr>
        <w:t xml:space="preserve"> βιομηχανικής επανάστασης, είναι προφανές ότι </w:t>
      </w:r>
      <w:r w:rsidRPr="009E1EDB">
        <w:rPr>
          <w:rFonts w:ascii="Calibri" w:hAnsi="Calibri"/>
          <w:highlight w:val="yellow"/>
        </w:rPr>
        <w:t>η χώρα μας θα πρέπει να προσαρμοσθεί ταχύτατα στα νέα δεδομένα</w:t>
      </w:r>
      <w:r>
        <w:rPr>
          <w:rFonts w:ascii="Calibri" w:hAnsi="Calibri"/>
        </w:rPr>
        <w:t xml:space="preserve"> και τις νέες συνθήκες του παγκόσμιου ανταγωνισμού, </w:t>
      </w:r>
      <w:r w:rsidRPr="009E1EDB">
        <w:rPr>
          <w:rFonts w:ascii="Calibri" w:hAnsi="Calibri"/>
          <w:highlight w:val="yellow"/>
        </w:rPr>
        <w:t>υλοποιώντας πρωτοβουλίες «τύπου» «</w:t>
      </w:r>
      <w:r w:rsidRPr="009E1EDB">
        <w:rPr>
          <w:rFonts w:ascii="Calibri" w:hAnsi="Calibri"/>
          <w:highlight w:val="yellow"/>
          <w:lang w:val="en-US"/>
        </w:rPr>
        <w:t>Industry</w:t>
      </w:r>
      <w:r w:rsidRPr="009E1EDB">
        <w:rPr>
          <w:rFonts w:ascii="Calibri" w:hAnsi="Calibri"/>
          <w:highlight w:val="yellow"/>
        </w:rPr>
        <w:t xml:space="preserve"> 4.0».</w:t>
      </w:r>
      <w:r>
        <w:rPr>
          <w:rFonts w:ascii="Calibri" w:hAnsi="Calibri"/>
        </w:rPr>
        <w:t xml:space="preserve"> </w:t>
      </w:r>
    </w:p>
    <w:p w:rsidR="001B2D13" w:rsidRPr="001B2D13" w:rsidRDefault="001B2D13" w:rsidP="000106F1">
      <w:pPr>
        <w:spacing w:after="60"/>
        <w:jc w:val="both"/>
        <w:rPr>
          <w:rFonts w:ascii="Calibri" w:hAnsi="Calibri"/>
          <w:b/>
          <w:highlight w:val="yellow"/>
        </w:rPr>
      </w:pPr>
      <w:r>
        <w:rPr>
          <w:rFonts w:ascii="Calibri" w:hAnsi="Calibri"/>
          <w:highlight w:val="yellow"/>
        </w:rPr>
        <w:t xml:space="preserve">Στο πλαίσιο αυτό ο ΣΒΒΕ προτείνει την περαιτέρω αξιοποίηση του Υπουργείου Βιομηχανίας, με την </w:t>
      </w:r>
      <w:r w:rsidRPr="001B2D13">
        <w:rPr>
          <w:rFonts w:ascii="Calibri" w:hAnsi="Calibri"/>
          <w:b/>
          <w:highlight w:val="yellow"/>
        </w:rPr>
        <w:t xml:space="preserve">υλοποίηση προγράμματος εθνικής στρατηγικής για τη βιομηχανία, με τίτλο: «ΕΛΛΑΔΑ – ΒΙΟΜΗΧΑΝΙΑ – </w:t>
      </w:r>
      <w:r w:rsidRPr="001B2D13">
        <w:rPr>
          <w:rFonts w:ascii="Calibri" w:hAnsi="Calibri"/>
          <w:b/>
          <w:highlight w:val="yellow"/>
          <w:lang w:val="en-US"/>
        </w:rPr>
        <w:t>Industry</w:t>
      </w:r>
      <w:r w:rsidRPr="001B2D13">
        <w:rPr>
          <w:rFonts w:ascii="Calibri" w:hAnsi="Calibri"/>
          <w:b/>
          <w:highlight w:val="yellow"/>
        </w:rPr>
        <w:t xml:space="preserve"> 4.0»</w:t>
      </w:r>
    </w:p>
    <w:p w:rsidR="000106F1" w:rsidRDefault="000106F1" w:rsidP="000106F1">
      <w:pPr>
        <w:spacing w:after="60"/>
        <w:jc w:val="both"/>
        <w:rPr>
          <w:rFonts w:ascii="Calibri" w:hAnsi="Calibri"/>
        </w:rPr>
      </w:pPr>
      <w:r w:rsidRPr="009E1EDB">
        <w:rPr>
          <w:rFonts w:ascii="Calibri" w:hAnsi="Calibri"/>
          <w:highlight w:val="yellow"/>
        </w:rPr>
        <w:t>Με την υλοποίηση της συγκεκριμένης πρωτοβουλίας,</w:t>
      </w:r>
      <w:r>
        <w:rPr>
          <w:rFonts w:ascii="Calibri" w:hAnsi="Calibri"/>
        </w:rPr>
        <w:t xml:space="preserve"> είναι βέβαιο ότι </w:t>
      </w:r>
      <w:r w:rsidRPr="009E1EDB">
        <w:rPr>
          <w:rFonts w:ascii="Calibri" w:hAnsi="Calibri"/>
          <w:highlight w:val="yellow"/>
        </w:rPr>
        <w:t>η χώρα θα εκκινήσει τη μετάβασή της στην ψηφιακή εποχή</w:t>
      </w:r>
      <w:r>
        <w:rPr>
          <w:rFonts w:ascii="Calibri" w:hAnsi="Calibri"/>
        </w:rPr>
        <w:t xml:space="preserve"> και τη δημιουργία του δικού της αναπτυξιακού σχεδίου για την επιτυχημένη αντιμετώπιση των προκλήσεων που απορρέουν από την 4</w:t>
      </w:r>
      <w:r w:rsidRPr="00E51ECE">
        <w:rPr>
          <w:rFonts w:ascii="Calibri" w:hAnsi="Calibri"/>
          <w:vertAlign w:val="superscript"/>
        </w:rPr>
        <w:t>η</w:t>
      </w:r>
      <w:r>
        <w:rPr>
          <w:rFonts w:ascii="Calibri" w:hAnsi="Calibri"/>
        </w:rPr>
        <w:t xml:space="preserve"> βιομηχανική επανάσταση. Άλλωστε, </w:t>
      </w:r>
      <w:r w:rsidRPr="00BF1D07">
        <w:rPr>
          <w:rFonts w:ascii="Calibri" w:hAnsi="Calibri"/>
          <w:highlight w:val="yellow"/>
        </w:rPr>
        <w:t>όλες σχεδόν οι χώρες της Ευρωπαϊκής Ένωσης (ΕΕ) διαθέτουν ήδη τα δικά τους μέτρα πολιτικής για τον ψηφιακό μετασχηματισμό της τοπικής βιομηχανίας, εκτός από την Ελλάδα.</w:t>
      </w:r>
      <w:r>
        <w:rPr>
          <w:rFonts w:ascii="Calibri" w:hAnsi="Calibri"/>
        </w:rPr>
        <w:t xml:space="preserve"> Η εμπειρία και οι «καλές πρακτικές» από τις χώρες αυτές, προτείνουμε να αξιοποιηθούν από τη χώρα μας και να μετουσιωθούν σε κατευθύνσεις σχεδιασμού του νέου αναπτυξιακού υποδείγματος της πατρίδας μας. </w:t>
      </w:r>
    </w:p>
    <w:p w:rsidR="000106F1" w:rsidRDefault="000106F1" w:rsidP="000106F1">
      <w:pPr>
        <w:spacing w:after="60"/>
        <w:jc w:val="both"/>
        <w:rPr>
          <w:rFonts w:ascii="Calibri" w:hAnsi="Calibri"/>
        </w:rPr>
      </w:pPr>
      <w:r>
        <w:rPr>
          <w:rFonts w:ascii="Calibri" w:hAnsi="Calibri"/>
        </w:rPr>
        <w:t xml:space="preserve">Ενδεικτικά, μέτρα παρέμβασης του προγράμματος εθνικής στρατηγικής «ΕΛΛΑΔΑ – </w:t>
      </w:r>
      <w:r>
        <w:rPr>
          <w:rFonts w:ascii="Calibri" w:hAnsi="Calibri"/>
          <w:lang w:val="en-US"/>
        </w:rPr>
        <w:t>Industry</w:t>
      </w:r>
      <w:r w:rsidRPr="000106F1">
        <w:rPr>
          <w:rFonts w:ascii="Calibri" w:hAnsi="Calibri"/>
        </w:rPr>
        <w:t xml:space="preserve"> 4.0</w:t>
      </w:r>
      <w:r>
        <w:rPr>
          <w:rFonts w:ascii="Calibri" w:hAnsi="Calibri"/>
        </w:rPr>
        <w:t>»</w:t>
      </w:r>
      <w:r w:rsidRPr="000106F1">
        <w:rPr>
          <w:rFonts w:ascii="Calibri" w:hAnsi="Calibri"/>
        </w:rPr>
        <w:t xml:space="preserve">, </w:t>
      </w:r>
      <w:r>
        <w:rPr>
          <w:rFonts w:ascii="Calibri" w:hAnsi="Calibri"/>
        </w:rPr>
        <w:t>είναι:</w:t>
      </w:r>
    </w:p>
    <w:p w:rsidR="000106F1" w:rsidRPr="000106F1" w:rsidRDefault="000106F1" w:rsidP="00D70B56">
      <w:pPr>
        <w:numPr>
          <w:ilvl w:val="0"/>
          <w:numId w:val="45"/>
        </w:numPr>
        <w:spacing w:after="60"/>
        <w:ind w:left="567" w:hanging="567"/>
        <w:jc w:val="both"/>
        <w:rPr>
          <w:rFonts w:ascii="Calibri" w:eastAsia="Calibri" w:hAnsi="Calibri"/>
        </w:rPr>
      </w:pPr>
      <w:r w:rsidRPr="000106F1">
        <w:rPr>
          <w:rFonts w:ascii="Calibri" w:eastAsia="Calibri" w:hAnsi="Calibri"/>
          <w:b/>
        </w:rPr>
        <w:t>Εθνικ</w:t>
      </w:r>
      <w:r>
        <w:rPr>
          <w:rFonts w:ascii="Calibri" w:eastAsia="Calibri" w:hAnsi="Calibri"/>
          <w:b/>
        </w:rPr>
        <w:t xml:space="preserve">ό </w:t>
      </w:r>
      <w:r w:rsidRPr="000106F1">
        <w:rPr>
          <w:rFonts w:ascii="Calibri" w:eastAsia="Calibri" w:hAnsi="Calibri"/>
          <w:b/>
        </w:rPr>
        <w:t>πρόγραμμα ψηφιακού μετασχηματισμού της οικονομίας</w:t>
      </w:r>
      <w:r>
        <w:rPr>
          <w:rFonts w:ascii="Calibri" w:eastAsia="Calibri" w:hAnsi="Calibri"/>
          <w:b/>
        </w:rPr>
        <w:t xml:space="preserve">, με: </w:t>
      </w:r>
    </w:p>
    <w:p w:rsidR="000106F1" w:rsidRDefault="000106F1" w:rsidP="00D70B56">
      <w:pPr>
        <w:pStyle w:val="a8"/>
        <w:numPr>
          <w:ilvl w:val="0"/>
          <w:numId w:val="46"/>
        </w:numPr>
        <w:spacing w:after="40" w:line="240" w:lineRule="auto"/>
        <w:ind w:left="992" w:hanging="425"/>
        <w:contextualSpacing w:val="0"/>
        <w:jc w:val="both"/>
      </w:pPr>
      <w:r w:rsidRPr="000106F1">
        <w:t xml:space="preserve">Ψηφιοποίηση </w:t>
      </w:r>
      <w:r>
        <w:t>της λειτουργίας Δημοσίου τομέα</w:t>
      </w:r>
      <w:r w:rsidRPr="000106F1">
        <w:t>,</w:t>
      </w:r>
    </w:p>
    <w:p w:rsidR="000106F1" w:rsidRDefault="000106F1" w:rsidP="00D70B56">
      <w:pPr>
        <w:pStyle w:val="a8"/>
        <w:numPr>
          <w:ilvl w:val="0"/>
          <w:numId w:val="46"/>
        </w:numPr>
        <w:spacing w:after="40" w:line="240" w:lineRule="auto"/>
        <w:ind w:left="992" w:hanging="425"/>
        <w:contextualSpacing w:val="0"/>
        <w:jc w:val="both"/>
      </w:pPr>
      <w:r>
        <w:t>Δ</w:t>
      </w:r>
      <w:r w:rsidRPr="000106F1">
        <w:t>ια</w:t>
      </w:r>
      <w:r>
        <w:t>-λειτουργικότητα συστημά</w:t>
      </w:r>
      <w:r w:rsidRPr="000106F1">
        <w:t xml:space="preserve">των, </w:t>
      </w:r>
      <w:r>
        <w:t xml:space="preserve">και, </w:t>
      </w:r>
    </w:p>
    <w:p w:rsidR="000106F1" w:rsidRPr="000106F1" w:rsidRDefault="000106F1" w:rsidP="00D70B56">
      <w:pPr>
        <w:pStyle w:val="a8"/>
        <w:numPr>
          <w:ilvl w:val="0"/>
          <w:numId w:val="46"/>
        </w:numPr>
        <w:spacing w:after="40" w:line="240" w:lineRule="auto"/>
        <w:ind w:left="992" w:hanging="425"/>
        <w:contextualSpacing w:val="0"/>
        <w:jc w:val="both"/>
      </w:pPr>
      <w:r>
        <w:t xml:space="preserve">Καθολική ηλεκτρονική </w:t>
      </w:r>
      <w:r w:rsidRPr="000106F1">
        <w:t>Διακυβέρνηση</w:t>
      </w:r>
    </w:p>
    <w:p w:rsidR="000106F1" w:rsidRDefault="000106F1" w:rsidP="00D70B56">
      <w:pPr>
        <w:numPr>
          <w:ilvl w:val="0"/>
          <w:numId w:val="45"/>
        </w:numPr>
        <w:spacing w:after="60"/>
        <w:ind w:left="567" w:hanging="567"/>
        <w:jc w:val="both"/>
        <w:rPr>
          <w:rFonts w:ascii="Calibri" w:eastAsia="Calibri" w:hAnsi="Calibri"/>
          <w:b/>
        </w:rPr>
      </w:pPr>
      <w:r>
        <w:rPr>
          <w:rFonts w:ascii="Calibri" w:eastAsia="Calibri" w:hAnsi="Calibri"/>
          <w:b/>
        </w:rPr>
        <w:t xml:space="preserve">Σχεδιασμός και ολοκλήρωση ψηφιακών υποδομών και </w:t>
      </w:r>
      <w:r w:rsidR="00617EF4">
        <w:rPr>
          <w:rFonts w:ascii="Calibri" w:eastAsia="Calibri" w:hAnsi="Calibri"/>
          <w:b/>
        </w:rPr>
        <w:t xml:space="preserve">υλοποίηση </w:t>
      </w:r>
      <w:r w:rsidRPr="000106F1">
        <w:rPr>
          <w:rFonts w:ascii="Calibri" w:eastAsia="Calibri" w:hAnsi="Calibri"/>
          <w:b/>
        </w:rPr>
        <w:t>επενδύσε</w:t>
      </w:r>
      <w:r w:rsidR="00617EF4">
        <w:rPr>
          <w:rFonts w:ascii="Calibri" w:eastAsia="Calibri" w:hAnsi="Calibri"/>
          <w:b/>
        </w:rPr>
        <w:t xml:space="preserve">ων </w:t>
      </w:r>
      <w:r>
        <w:rPr>
          <w:rFonts w:ascii="Calibri" w:eastAsia="Calibri" w:hAnsi="Calibri"/>
          <w:b/>
        </w:rPr>
        <w:t>στις τεχνολογίες πληροφορικής και επικοινωνιών (</w:t>
      </w:r>
      <w:r w:rsidRPr="000106F1">
        <w:rPr>
          <w:rFonts w:ascii="Calibri" w:eastAsia="Calibri" w:hAnsi="Calibri"/>
          <w:b/>
        </w:rPr>
        <w:t>I</w:t>
      </w:r>
      <w:r>
        <w:rPr>
          <w:rFonts w:ascii="Calibri" w:eastAsia="Calibri" w:hAnsi="Calibri"/>
          <w:b/>
        </w:rPr>
        <w:t>CT).</w:t>
      </w:r>
    </w:p>
    <w:p w:rsidR="00617EF4" w:rsidRDefault="00617EF4" w:rsidP="00D70B56">
      <w:pPr>
        <w:numPr>
          <w:ilvl w:val="0"/>
          <w:numId w:val="45"/>
        </w:numPr>
        <w:spacing w:after="60"/>
        <w:ind w:left="567" w:hanging="567"/>
        <w:jc w:val="both"/>
        <w:rPr>
          <w:rFonts w:ascii="Calibri" w:eastAsia="Calibri" w:hAnsi="Calibri"/>
          <w:b/>
        </w:rPr>
      </w:pPr>
      <w:r w:rsidRPr="00617EF4">
        <w:rPr>
          <w:rFonts w:ascii="Calibri" w:eastAsia="Calibri" w:hAnsi="Calibri"/>
          <w:b/>
        </w:rPr>
        <w:t xml:space="preserve">Χρηματοδότηση επενδύσεων </w:t>
      </w:r>
      <w:r>
        <w:rPr>
          <w:rFonts w:ascii="Calibri" w:eastAsia="Calibri" w:hAnsi="Calibri"/>
          <w:b/>
        </w:rPr>
        <w:t xml:space="preserve">καινοτομίας </w:t>
      </w:r>
      <w:r w:rsidRPr="00617EF4">
        <w:rPr>
          <w:rFonts w:ascii="Calibri" w:eastAsia="Calibri" w:hAnsi="Calibri"/>
          <w:b/>
        </w:rPr>
        <w:t>και εφαρμοσμένων ερευνητικών έργων σ</w:t>
      </w:r>
      <w:r>
        <w:rPr>
          <w:rFonts w:ascii="Calibri" w:eastAsia="Calibri" w:hAnsi="Calibri"/>
          <w:b/>
        </w:rPr>
        <w:t>ε τομείς προτεραιότητας για τη μεταποίηση, όπως:</w:t>
      </w:r>
    </w:p>
    <w:p w:rsidR="00617EF4" w:rsidRDefault="00617EF4" w:rsidP="00D70B56">
      <w:pPr>
        <w:pStyle w:val="a8"/>
        <w:numPr>
          <w:ilvl w:val="0"/>
          <w:numId w:val="46"/>
        </w:numPr>
        <w:spacing w:after="40" w:line="240" w:lineRule="auto"/>
        <w:ind w:left="992" w:hanging="425"/>
        <w:contextualSpacing w:val="0"/>
        <w:jc w:val="both"/>
      </w:pPr>
      <w:r>
        <w:t>α</w:t>
      </w:r>
      <w:r w:rsidRPr="00617EF4">
        <w:t>υτοματοποίησης</w:t>
      </w:r>
      <w:r>
        <w:t xml:space="preserve"> παραγωγικών διαδικασιών</w:t>
      </w:r>
      <w:r w:rsidRPr="00617EF4">
        <w:t xml:space="preserve">, </w:t>
      </w:r>
    </w:p>
    <w:p w:rsidR="00617EF4" w:rsidRDefault="00617EF4" w:rsidP="00D70B56">
      <w:pPr>
        <w:pStyle w:val="a8"/>
        <w:numPr>
          <w:ilvl w:val="0"/>
          <w:numId w:val="46"/>
        </w:numPr>
        <w:spacing w:after="40" w:line="240" w:lineRule="auto"/>
        <w:ind w:left="992" w:hanging="425"/>
        <w:contextualSpacing w:val="0"/>
        <w:jc w:val="both"/>
      </w:pPr>
      <w:r w:rsidRPr="00617EF4">
        <w:t xml:space="preserve">τεχνικής νοημοσύνης, </w:t>
      </w:r>
    </w:p>
    <w:p w:rsidR="00617EF4" w:rsidRDefault="00617EF4" w:rsidP="00D70B56">
      <w:pPr>
        <w:pStyle w:val="a8"/>
        <w:numPr>
          <w:ilvl w:val="0"/>
          <w:numId w:val="46"/>
        </w:numPr>
        <w:spacing w:after="40" w:line="240" w:lineRule="auto"/>
        <w:ind w:left="992" w:hanging="425"/>
        <w:contextualSpacing w:val="0"/>
        <w:jc w:val="both"/>
      </w:pPr>
      <w:r>
        <w:t>δ</w:t>
      </w:r>
      <w:r w:rsidRPr="00617EF4">
        <w:t>ιαδικτύου των πρα</w:t>
      </w:r>
      <w:r>
        <w:t>γ</w:t>
      </w:r>
      <w:r w:rsidRPr="00617EF4">
        <w:t xml:space="preserve">μάτων, </w:t>
      </w:r>
    </w:p>
    <w:p w:rsidR="00617EF4" w:rsidRDefault="00617EF4" w:rsidP="00D70B56">
      <w:pPr>
        <w:pStyle w:val="a8"/>
        <w:numPr>
          <w:ilvl w:val="0"/>
          <w:numId w:val="46"/>
        </w:numPr>
        <w:spacing w:after="40" w:line="240" w:lineRule="auto"/>
        <w:ind w:left="992" w:hanging="425"/>
        <w:contextualSpacing w:val="0"/>
        <w:jc w:val="both"/>
      </w:pPr>
      <w:r w:rsidRPr="00617EF4">
        <w:t>βιο</w:t>
      </w:r>
      <w:r w:rsidR="001B2D13">
        <w:t xml:space="preserve">- </w:t>
      </w:r>
      <w:r w:rsidRPr="00617EF4">
        <w:t>επιστημ</w:t>
      </w:r>
      <w:r>
        <w:t>ών</w:t>
      </w:r>
    </w:p>
    <w:p w:rsidR="00617EF4" w:rsidRPr="00617EF4" w:rsidRDefault="00617EF4" w:rsidP="00D70B56">
      <w:pPr>
        <w:pStyle w:val="a8"/>
        <w:numPr>
          <w:ilvl w:val="0"/>
          <w:numId w:val="46"/>
        </w:numPr>
        <w:spacing w:after="40" w:line="240" w:lineRule="auto"/>
        <w:ind w:left="992" w:hanging="425"/>
        <w:contextualSpacing w:val="0"/>
        <w:jc w:val="both"/>
      </w:pPr>
      <w:proofErr w:type="spellStart"/>
      <w:r w:rsidRPr="00617EF4">
        <w:t>νανοτεχνολογιας</w:t>
      </w:r>
      <w:proofErr w:type="spellEnd"/>
      <w:r w:rsidRPr="00617EF4">
        <w:t xml:space="preserve"> </w:t>
      </w:r>
      <w:proofErr w:type="spellStart"/>
      <w:r w:rsidRPr="00617EF4">
        <w:t>κ.</w:t>
      </w:r>
      <w:r>
        <w:t>λ.π</w:t>
      </w:r>
      <w:proofErr w:type="spellEnd"/>
      <w:r>
        <w:t>.</w:t>
      </w:r>
    </w:p>
    <w:p w:rsidR="00617EF4" w:rsidRDefault="00617EF4" w:rsidP="00D70B56">
      <w:pPr>
        <w:numPr>
          <w:ilvl w:val="0"/>
          <w:numId w:val="45"/>
        </w:numPr>
        <w:spacing w:after="60"/>
        <w:ind w:left="567" w:hanging="567"/>
        <w:jc w:val="both"/>
        <w:rPr>
          <w:rFonts w:ascii="Calibri" w:eastAsia="Calibri" w:hAnsi="Calibri"/>
          <w:b/>
        </w:rPr>
      </w:pPr>
      <w:r>
        <w:rPr>
          <w:rFonts w:ascii="Calibri" w:eastAsia="Calibri" w:hAnsi="Calibri"/>
          <w:b/>
        </w:rPr>
        <w:t xml:space="preserve">Θέσπιση ειδικών – κλαδικών προγραμμάτων </w:t>
      </w:r>
      <w:r w:rsidRPr="00617EF4">
        <w:rPr>
          <w:rFonts w:ascii="Calibri" w:eastAsia="Calibri" w:hAnsi="Calibri"/>
          <w:b/>
        </w:rPr>
        <w:t>ψηφιοποίησης</w:t>
      </w:r>
      <w:r>
        <w:rPr>
          <w:rFonts w:ascii="Calibri" w:eastAsia="Calibri" w:hAnsi="Calibri"/>
          <w:b/>
        </w:rPr>
        <w:t xml:space="preserve">, όπως: </w:t>
      </w:r>
    </w:p>
    <w:p w:rsidR="00617EF4" w:rsidRDefault="00617EF4" w:rsidP="00D70B56">
      <w:pPr>
        <w:pStyle w:val="a8"/>
        <w:numPr>
          <w:ilvl w:val="0"/>
          <w:numId w:val="46"/>
        </w:numPr>
        <w:spacing w:after="40" w:line="240" w:lineRule="auto"/>
        <w:ind w:left="992" w:hanging="425"/>
        <w:contextualSpacing w:val="0"/>
        <w:jc w:val="both"/>
      </w:pPr>
      <w:r>
        <w:t>ψηφιακή γεωργία</w:t>
      </w:r>
      <w:r w:rsidRPr="00617EF4">
        <w:t>,</w:t>
      </w:r>
    </w:p>
    <w:p w:rsidR="00617EF4" w:rsidRDefault="00617EF4" w:rsidP="00D70B56">
      <w:pPr>
        <w:pStyle w:val="a8"/>
        <w:numPr>
          <w:ilvl w:val="0"/>
          <w:numId w:val="46"/>
        </w:numPr>
        <w:spacing w:after="40" w:line="240" w:lineRule="auto"/>
        <w:ind w:left="992" w:hanging="425"/>
        <w:contextualSpacing w:val="0"/>
        <w:jc w:val="both"/>
      </w:pPr>
      <w:r w:rsidRPr="00617EF4">
        <w:t>βιομηχανικές εφαρμογ</w:t>
      </w:r>
      <w:r>
        <w:t>ές και επενδύσεις αναδιάρθρωσης</w:t>
      </w:r>
      <w:r w:rsidRPr="00617EF4">
        <w:t>,</w:t>
      </w:r>
    </w:p>
    <w:p w:rsidR="00617EF4" w:rsidRDefault="00617EF4" w:rsidP="00D70B56">
      <w:pPr>
        <w:pStyle w:val="a8"/>
        <w:numPr>
          <w:ilvl w:val="0"/>
          <w:numId w:val="46"/>
        </w:numPr>
        <w:spacing w:after="40" w:line="240" w:lineRule="auto"/>
        <w:ind w:left="992" w:hanging="425"/>
        <w:contextualSpacing w:val="0"/>
        <w:jc w:val="both"/>
      </w:pPr>
      <w:r w:rsidRPr="00617EF4">
        <w:t>ψηφιακ</w:t>
      </w:r>
      <w:r>
        <w:t>ό</w:t>
      </w:r>
      <w:r w:rsidRPr="00617EF4">
        <w:t>ς τουρισμός ,</w:t>
      </w:r>
    </w:p>
    <w:p w:rsidR="00617EF4" w:rsidRPr="00617EF4" w:rsidRDefault="00617EF4" w:rsidP="00D70B56">
      <w:pPr>
        <w:pStyle w:val="a8"/>
        <w:numPr>
          <w:ilvl w:val="0"/>
          <w:numId w:val="46"/>
        </w:numPr>
        <w:spacing w:after="40" w:line="240" w:lineRule="auto"/>
        <w:ind w:left="992" w:hanging="425"/>
        <w:contextualSpacing w:val="0"/>
        <w:jc w:val="both"/>
      </w:pPr>
      <w:r w:rsidRPr="00617EF4">
        <w:t>μεταφορές και logistics.</w:t>
      </w:r>
    </w:p>
    <w:p w:rsidR="00F3073E" w:rsidRPr="00617EF4" w:rsidRDefault="00617EF4" w:rsidP="00D70B56">
      <w:pPr>
        <w:numPr>
          <w:ilvl w:val="0"/>
          <w:numId w:val="45"/>
        </w:numPr>
        <w:spacing w:after="60"/>
        <w:ind w:left="567" w:hanging="567"/>
        <w:jc w:val="both"/>
        <w:rPr>
          <w:rFonts w:ascii="Calibri" w:eastAsia="Calibri" w:hAnsi="Calibri"/>
        </w:rPr>
      </w:pPr>
      <w:r w:rsidRPr="00617EF4">
        <w:rPr>
          <w:rFonts w:ascii="Calibri" w:eastAsia="Calibri" w:hAnsi="Calibri"/>
          <w:b/>
        </w:rPr>
        <w:t xml:space="preserve">Προσαρμογές στην αγορά εργασίας και στο εγχώριο εκπαιδευτικό σύστημα. Σχεδιασμός και υλοποίηση προγραμμάτων συνεχούς κατάρτισης για την προσαρμογή των προσόντων των εργαζομένων στις απαιτήσεις της ψηφιακής εποχής. </w:t>
      </w:r>
      <w:r w:rsidR="00F3073E" w:rsidRPr="00617EF4">
        <w:rPr>
          <w:rFonts w:ascii="Calibri" w:eastAsia="Calibri" w:hAnsi="Calibri"/>
        </w:rPr>
        <w:br w:type="page"/>
      </w:r>
    </w:p>
    <w:p w:rsidR="00F3073E" w:rsidRDefault="00F3073E"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EC6657" w:rsidRDefault="00EC6657" w:rsidP="00BA0628">
      <w:pPr>
        <w:spacing w:after="160" w:line="259" w:lineRule="auto"/>
        <w:contextualSpacing/>
        <w:jc w:val="both"/>
        <w:rPr>
          <w:rFonts w:ascii="Calibri" w:eastAsia="Calibri" w:hAnsi="Calibri"/>
        </w:rPr>
      </w:pPr>
    </w:p>
    <w:p w:rsidR="00EC6657" w:rsidRDefault="00EC6657" w:rsidP="00BA0628">
      <w:pPr>
        <w:spacing w:after="160" w:line="259" w:lineRule="auto"/>
        <w:contextualSpacing/>
        <w:jc w:val="both"/>
        <w:rPr>
          <w:rFonts w:ascii="Calibri" w:eastAsia="Calibri" w:hAnsi="Calibri"/>
        </w:rPr>
      </w:pPr>
    </w:p>
    <w:p w:rsidR="00EF6022" w:rsidRDefault="00EF6022" w:rsidP="004E0A06">
      <w:pPr>
        <w:pBdr>
          <w:bottom w:val="single" w:sz="4" w:space="1" w:color="1F3864" w:themeColor="accent5" w:themeShade="80"/>
        </w:pBdr>
        <w:spacing w:after="160" w:line="259" w:lineRule="auto"/>
        <w:contextualSpacing/>
        <w:jc w:val="both"/>
        <w:rPr>
          <w:rFonts w:ascii="Calibri" w:eastAsia="Calibri" w:hAnsi="Calibri"/>
          <w:b/>
          <w:sz w:val="36"/>
        </w:rPr>
      </w:pPr>
    </w:p>
    <w:p w:rsidR="00EF6022" w:rsidRDefault="00EF6022" w:rsidP="004E0A06">
      <w:pPr>
        <w:pBdr>
          <w:bottom w:val="single" w:sz="4" w:space="1" w:color="1F3864" w:themeColor="accent5" w:themeShade="80"/>
        </w:pBdr>
        <w:spacing w:after="160" w:line="259" w:lineRule="auto"/>
        <w:contextualSpacing/>
        <w:jc w:val="both"/>
        <w:rPr>
          <w:rFonts w:ascii="Calibri" w:eastAsia="Calibri" w:hAnsi="Calibri"/>
          <w:b/>
          <w:sz w:val="36"/>
        </w:rPr>
      </w:pPr>
    </w:p>
    <w:p w:rsidR="00EF6022" w:rsidRDefault="00EF6022" w:rsidP="004E0A06">
      <w:pPr>
        <w:pBdr>
          <w:bottom w:val="single" w:sz="4" w:space="1" w:color="1F3864" w:themeColor="accent5" w:themeShade="80"/>
        </w:pBdr>
        <w:spacing w:after="160" w:line="259" w:lineRule="auto"/>
        <w:contextualSpacing/>
        <w:jc w:val="both"/>
        <w:rPr>
          <w:rFonts w:ascii="Calibri" w:eastAsia="Calibri" w:hAnsi="Calibri"/>
          <w:b/>
          <w:sz w:val="36"/>
        </w:rPr>
      </w:pPr>
    </w:p>
    <w:p w:rsidR="00EF6022" w:rsidRDefault="00EF6022" w:rsidP="004E0A06">
      <w:pPr>
        <w:pBdr>
          <w:bottom w:val="single" w:sz="4" w:space="1" w:color="1F3864" w:themeColor="accent5" w:themeShade="80"/>
        </w:pBdr>
        <w:spacing w:after="160" w:line="259" w:lineRule="auto"/>
        <w:contextualSpacing/>
        <w:jc w:val="both"/>
        <w:rPr>
          <w:rFonts w:ascii="Calibri" w:eastAsia="Calibri" w:hAnsi="Calibri"/>
          <w:b/>
          <w:sz w:val="36"/>
        </w:rPr>
      </w:pPr>
    </w:p>
    <w:p w:rsidR="00BA0628" w:rsidRPr="004E0A06" w:rsidRDefault="00BA0628" w:rsidP="004E0A06">
      <w:pPr>
        <w:pBdr>
          <w:bottom w:val="single" w:sz="4" w:space="1" w:color="1F3864" w:themeColor="accent5" w:themeShade="80"/>
        </w:pBdr>
        <w:spacing w:after="160" w:line="259" w:lineRule="auto"/>
        <w:contextualSpacing/>
        <w:jc w:val="both"/>
        <w:rPr>
          <w:rFonts w:ascii="Calibri" w:eastAsia="Calibri" w:hAnsi="Calibri"/>
          <w:b/>
          <w:color w:val="1F3864"/>
          <w:sz w:val="36"/>
          <w:szCs w:val="32"/>
        </w:rPr>
      </w:pPr>
      <w:r w:rsidRPr="004E0A06">
        <w:rPr>
          <w:rFonts w:ascii="Calibri" w:eastAsia="Calibri" w:hAnsi="Calibri"/>
          <w:b/>
          <w:color w:val="1F3864"/>
          <w:sz w:val="36"/>
          <w:szCs w:val="32"/>
        </w:rPr>
        <w:t xml:space="preserve">ΠΑΡΑΡΤΗΜΑ: </w:t>
      </w:r>
      <w:r w:rsidR="004E0A06" w:rsidRPr="004E0A06">
        <w:rPr>
          <w:rFonts w:ascii="Calibri" w:eastAsia="Calibri" w:hAnsi="Calibri"/>
          <w:b/>
          <w:color w:val="1F3864"/>
          <w:sz w:val="36"/>
          <w:szCs w:val="32"/>
        </w:rPr>
        <w:br/>
      </w:r>
      <w:r w:rsidRPr="004E0A06">
        <w:rPr>
          <w:rFonts w:ascii="Calibri" w:eastAsia="Calibri" w:hAnsi="Calibri"/>
          <w:b/>
          <w:color w:val="1F3864"/>
          <w:sz w:val="36"/>
          <w:szCs w:val="32"/>
        </w:rPr>
        <w:t xml:space="preserve">τα στοιχεία τεκμηρίωσης των περιφερειακών ανισοτήτων </w:t>
      </w: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BA0628" w:rsidRDefault="00BA0628" w:rsidP="00BA0628">
      <w:pPr>
        <w:spacing w:after="160" w:line="259" w:lineRule="auto"/>
        <w:contextualSpacing/>
        <w:jc w:val="both"/>
        <w:rPr>
          <w:rFonts w:ascii="Calibri" w:eastAsia="Calibri" w:hAnsi="Calibri"/>
        </w:rPr>
      </w:pPr>
    </w:p>
    <w:p w:rsidR="006C6512" w:rsidRDefault="006C6512">
      <w:pPr>
        <w:rPr>
          <w:rFonts w:ascii="Calibri" w:eastAsia="Calibri" w:hAnsi="Calibri"/>
        </w:rPr>
      </w:pPr>
      <w:r>
        <w:rPr>
          <w:rFonts w:ascii="Calibri" w:eastAsia="Calibri" w:hAnsi="Calibri"/>
        </w:rPr>
        <w:br w:type="page"/>
      </w:r>
    </w:p>
    <w:p w:rsidR="005C6CE4" w:rsidRDefault="005C6CE4" w:rsidP="00BA0628">
      <w:pPr>
        <w:spacing w:before="120" w:after="120"/>
        <w:jc w:val="center"/>
        <w:rPr>
          <w:rFonts w:ascii="Calibri" w:hAnsi="Calibri"/>
          <w:i/>
        </w:rPr>
      </w:pPr>
    </w:p>
    <w:p w:rsidR="005C6CE4" w:rsidRDefault="005C6CE4" w:rsidP="00BA0628">
      <w:pPr>
        <w:spacing w:before="120" w:after="120"/>
        <w:jc w:val="center"/>
        <w:rPr>
          <w:rFonts w:ascii="Calibri" w:hAnsi="Calibri"/>
          <w:i/>
        </w:rPr>
      </w:pPr>
    </w:p>
    <w:p w:rsidR="005C6CE4" w:rsidRDefault="005C6CE4" w:rsidP="00BA0628">
      <w:pPr>
        <w:spacing w:before="120" w:after="120"/>
        <w:jc w:val="center"/>
        <w:rPr>
          <w:rFonts w:ascii="Calibri" w:hAnsi="Calibri"/>
          <w:i/>
        </w:rPr>
      </w:pPr>
    </w:p>
    <w:p w:rsidR="005C6CE4" w:rsidRDefault="005C6CE4" w:rsidP="00BA0628">
      <w:pPr>
        <w:spacing w:before="120" w:after="120"/>
        <w:jc w:val="center"/>
        <w:rPr>
          <w:rFonts w:ascii="Calibri" w:hAnsi="Calibri"/>
          <w:i/>
        </w:rPr>
      </w:pPr>
    </w:p>
    <w:p w:rsidR="005C6CE4" w:rsidRDefault="005C6CE4" w:rsidP="00BA0628">
      <w:pPr>
        <w:spacing w:before="120" w:after="120"/>
        <w:jc w:val="center"/>
        <w:rPr>
          <w:rFonts w:ascii="Calibri" w:hAnsi="Calibri"/>
          <w:i/>
        </w:rPr>
      </w:pPr>
    </w:p>
    <w:p w:rsidR="00BA0628" w:rsidRPr="009E1EDB" w:rsidRDefault="00BA0628" w:rsidP="00BA0628">
      <w:pPr>
        <w:spacing w:before="120" w:after="120"/>
        <w:jc w:val="center"/>
        <w:rPr>
          <w:rFonts w:ascii="Calibri" w:hAnsi="Calibri"/>
          <w:sz w:val="20"/>
        </w:rPr>
      </w:pPr>
      <w:r>
        <w:rPr>
          <w:rFonts w:ascii="Calibri" w:hAnsi="Calibri"/>
          <w:i/>
        </w:rPr>
        <w:t xml:space="preserve">Γράφημα 1: Ποσοστιαία μεταβολή της συνεισφοράς κάθε περιφέρειας στον σχηματισμό του εθνικού ΑΕΠ μεταξύ των ετών 2000 – 2016. </w:t>
      </w:r>
      <w:r>
        <w:rPr>
          <w:rFonts w:ascii="Calibri" w:hAnsi="Calibri"/>
          <w:sz w:val="20"/>
        </w:rPr>
        <w:t>Π</w:t>
      </w:r>
      <w:r w:rsidRPr="00EE5AAF">
        <w:rPr>
          <w:rFonts w:ascii="Calibri" w:hAnsi="Calibri"/>
          <w:sz w:val="20"/>
        </w:rPr>
        <w:t>η</w:t>
      </w:r>
      <w:r>
        <w:rPr>
          <w:rFonts w:ascii="Calibri" w:hAnsi="Calibri"/>
          <w:sz w:val="20"/>
        </w:rPr>
        <w:t xml:space="preserve">γή: </w:t>
      </w:r>
      <w:r>
        <w:rPr>
          <w:rFonts w:ascii="Calibri" w:hAnsi="Calibri"/>
          <w:sz w:val="20"/>
          <w:lang w:val="en-US"/>
        </w:rPr>
        <w:t>Eurostat</w:t>
      </w:r>
    </w:p>
    <w:p w:rsidR="00BA0628" w:rsidRDefault="00BA0628" w:rsidP="00BA0628">
      <w:pPr>
        <w:spacing w:before="120" w:after="120"/>
        <w:jc w:val="both"/>
        <w:rPr>
          <w:rFonts w:ascii="Calibri" w:hAnsi="Calibri"/>
        </w:rPr>
      </w:pPr>
      <w:r>
        <w:rPr>
          <w:noProof/>
        </w:rPr>
        <w:drawing>
          <wp:inline distT="0" distB="0" distL="0" distR="0" wp14:anchorId="67AF7E81" wp14:editId="5FD8BD93">
            <wp:extent cx="5759450" cy="3762375"/>
            <wp:effectExtent l="0" t="0" r="0" b="0"/>
            <wp:docPr id="2"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DF5D40" w:rsidRDefault="00DF5D40" w:rsidP="00BA0628">
      <w:pPr>
        <w:spacing w:before="120" w:after="120"/>
        <w:jc w:val="center"/>
        <w:rPr>
          <w:rFonts w:asciiTheme="minorHAnsi" w:hAnsiTheme="minorHAnsi" w:cstheme="minorHAnsi"/>
          <w:i/>
        </w:rPr>
      </w:pPr>
    </w:p>
    <w:p w:rsidR="00BA0628" w:rsidRPr="00121E42" w:rsidRDefault="00BA0628" w:rsidP="00BA0628">
      <w:pPr>
        <w:spacing w:before="120" w:after="120"/>
        <w:jc w:val="center"/>
        <w:rPr>
          <w:rFonts w:ascii="Calibri" w:hAnsi="Calibri"/>
          <w:sz w:val="20"/>
        </w:rPr>
      </w:pPr>
      <w:r>
        <w:rPr>
          <w:rFonts w:asciiTheme="minorHAnsi" w:hAnsiTheme="minorHAnsi" w:cstheme="minorHAnsi"/>
          <w:i/>
        </w:rPr>
        <w:t xml:space="preserve">Πίνακας 1: Ποσοστιαία μείωση του λόγου (ΑΕΠ Περιφέρειας …) / (ΑΕΠ Περιφέρειας Αττικής) μεταξύ των ετών 2000 – 2016 </w:t>
      </w:r>
      <w:r>
        <w:rPr>
          <w:rFonts w:ascii="Calibri" w:hAnsi="Calibri"/>
          <w:sz w:val="20"/>
        </w:rPr>
        <w:t>Π</w:t>
      </w:r>
      <w:r w:rsidRPr="00EE5AAF">
        <w:rPr>
          <w:rFonts w:ascii="Calibri" w:hAnsi="Calibri"/>
          <w:sz w:val="20"/>
        </w:rPr>
        <w:t>η</w:t>
      </w:r>
      <w:r>
        <w:rPr>
          <w:rFonts w:ascii="Calibri" w:hAnsi="Calibri"/>
          <w:sz w:val="20"/>
        </w:rPr>
        <w:t xml:space="preserve">γή: </w:t>
      </w:r>
      <w:r>
        <w:rPr>
          <w:rFonts w:ascii="Calibri" w:hAnsi="Calibri"/>
          <w:sz w:val="20"/>
          <w:lang w:val="en-US"/>
        </w:rPr>
        <w:t>Eurostat</w:t>
      </w:r>
    </w:p>
    <w:tbl>
      <w:tblPr>
        <w:tblStyle w:val="a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44"/>
        <w:gridCol w:w="4526"/>
      </w:tblGrid>
      <w:tr w:rsidR="00BA0628" w:rsidRPr="00C238C6" w:rsidTr="00B250AE">
        <w:tc>
          <w:tcPr>
            <w:tcW w:w="4544" w:type="dxa"/>
          </w:tcPr>
          <w:p w:rsidR="00BA0628" w:rsidRPr="00C238C6" w:rsidRDefault="00BA0628" w:rsidP="00B250AE">
            <w:pPr>
              <w:spacing w:before="120" w:after="120"/>
              <w:jc w:val="right"/>
              <w:rPr>
                <w:rFonts w:asciiTheme="minorHAnsi" w:hAnsiTheme="minorHAnsi" w:cstheme="minorHAnsi"/>
                <w:sz w:val="20"/>
              </w:rPr>
            </w:pPr>
            <w:r w:rsidRPr="00C238C6">
              <w:rPr>
                <w:rFonts w:asciiTheme="minorHAnsi" w:hAnsiTheme="minorHAnsi" w:cstheme="minorHAnsi"/>
                <w:sz w:val="20"/>
              </w:rPr>
              <w:t>Στερεά Ελλάδα</w:t>
            </w:r>
          </w:p>
        </w:tc>
        <w:tc>
          <w:tcPr>
            <w:tcW w:w="4526" w:type="dxa"/>
          </w:tcPr>
          <w:p w:rsidR="00BA0628" w:rsidRPr="00C238C6" w:rsidRDefault="00BA0628" w:rsidP="00B250AE">
            <w:pPr>
              <w:spacing w:before="120" w:after="120"/>
              <w:jc w:val="both"/>
              <w:rPr>
                <w:rFonts w:asciiTheme="minorHAnsi" w:hAnsiTheme="minorHAnsi" w:cstheme="minorHAnsi"/>
                <w:b/>
                <w:bCs/>
                <w:sz w:val="20"/>
              </w:rPr>
            </w:pPr>
            <w:r w:rsidRPr="00C238C6">
              <w:rPr>
                <w:rFonts w:asciiTheme="minorHAnsi" w:hAnsiTheme="minorHAnsi" w:cstheme="minorHAnsi"/>
                <w:b/>
                <w:bCs/>
                <w:sz w:val="20"/>
              </w:rPr>
              <w:t>-21,38%</w:t>
            </w:r>
          </w:p>
        </w:tc>
      </w:tr>
      <w:tr w:rsidR="00BA0628" w:rsidRPr="00C238C6" w:rsidTr="00B250AE">
        <w:tc>
          <w:tcPr>
            <w:tcW w:w="4544" w:type="dxa"/>
          </w:tcPr>
          <w:p w:rsidR="00BA0628" w:rsidRPr="00C238C6" w:rsidRDefault="00BA0628" w:rsidP="00B250AE">
            <w:pPr>
              <w:spacing w:before="120" w:after="120"/>
              <w:jc w:val="right"/>
              <w:rPr>
                <w:rFonts w:asciiTheme="minorHAnsi" w:hAnsiTheme="minorHAnsi" w:cstheme="minorHAnsi"/>
                <w:sz w:val="20"/>
              </w:rPr>
            </w:pPr>
            <w:r w:rsidRPr="00C238C6">
              <w:rPr>
                <w:rFonts w:asciiTheme="minorHAnsi" w:hAnsiTheme="minorHAnsi" w:cstheme="minorHAnsi"/>
                <w:sz w:val="20"/>
              </w:rPr>
              <w:t>Ήπειρος</w:t>
            </w:r>
          </w:p>
        </w:tc>
        <w:tc>
          <w:tcPr>
            <w:tcW w:w="4526" w:type="dxa"/>
          </w:tcPr>
          <w:p w:rsidR="00BA0628" w:rsidRPr="00C238C6" w:rsidRDefault="00BA0628" w:rsidP="00B250AE">
            <w:pPr>
              <w:spacing w:before="120" w:after="120"/>
              <w:jc w:val="both"/>
              <w:rPr>
                <w:rFonts w:asciiTheme="minorHAnsi" w:hAnsiTheme="minorHAnsi" w:cstheme="minorHAnsi"/>
                <w:b/>
                <w:bCs/>
                <w:sz w:val="20"/>
              </w:rPr>
            </w:pPr>
            <w:r w:rsidRPr="00C238C6">
              <w:rPr>
                <w:rFonts w:asciiTheme="minorHAnsi" w:hAnsiTheme="minorHAnsi" w:cstheme="minorHAnsi"/>
                <w:b/>
                <w:bCs/>
                <w:sz w:val="20"/>
              </w:rPr>
              <w:t>-13,03%</w:t>
            </w:r>
          </w:p>
        </w:tc>
      </w:tr>
      <w:tr w:rsidR="00BA0628" w:rsidRPr="00C238C6" w:rsidTr="00B250AE">
        <w:tc>
          <w:tcPr>
            <w:tcW w:w="4544" w:type="dxa"/>
          </w:tcPr>
          <w:p w:rsidR="00BA0628" w:rsidRPr="00C238C6" w:rsidRDefault="00BA0628" w:rsidP="00B250AE">
            <w:pPr>
              <w:spacing w:before="120" w:after="120"/>
              <w:jc w:val="right"/>
              <w:rPr>
                <w:rFonts w:asciiTheme="minorHAnsi" w:hAnsiTheme="minorHAnsi" w:cstheme="minorHAnsi"/>
                <w:sz w:val="20"/>
              </w:rPr>
            </w:pPr>
            <w:r w:rsidRPr="00C238C6">
              <w:rPr>
                <w:rFonts w:asciiTheme="minorHAnsi" w:hAnsiTheme="minorHAnsi" w:cstheme="minorHAnsi"/>
                <w:sz w:val="20"/>
              </w:rPr>
              <w:t>Δυτική Ελλάδα</w:t>
            </w:r>
          </w:p>
        </w:tc>
        <w:tc>
          <w:tcPr>
            <w:tcW w:w="4526" w:type="dxa"/>
          </w:tcPr>
          <w:p w:rsidR="00BA0628" w:rsidRPr="00C238C6" w:rsidRDefault="00BA0628" w:rsidP="00B250AE">
            <w:pPr>
              <w:spacing w:before="120" w:after="120"/>
              <w:jc w:val="both"/>
              <w:rPr>
                <w:rFonts w:asciiTheme="minorHAnsi" w:hAnsiTheme="minorHAnsi" w:cstheme="minorHAnsi"/>
                <w:b/>
                <w:bCs/>
                <w:sz w:val="20"/>
              </w:rPr>
            </w:pPr>
            <w:r w:rsidRPr="00C238C6">
              <w:rPr>
                <w:rFonts w:asciiTheme="minorHAnsi" w:hAnsiTheme="minorHAnsi" w:cstheme="minorHAnsi"/>
                <w:b/>
                <w:bCs/>
                <w:sz w:val="20"/>
              </w:rPr>
              <w:t>-12,46%</w:t>
            </w:r>
          </w:p>
        </w:tc>
      </w:tr>
      <w:tr w:rsidR="00BA0628" w:rsidRPr="00C238C6" w:rsidTr="00B250AE">
        <w:tc>
          <w:tcPr>
            <w:tcW w:w="4544" w:type="dxa"/>
          </w:tcPr>
          <w:p w:rsidR="00BA0628" w:rsidRPr="00C238C6" w:rsidRDefault="00BA0628" w:rsidP="00B250AE">
            <w:pPr>
              <w:spacing w:before="120" w:after="120"/>
              <w:jc w:val="right"/>
              <w:rPr>
                <w:rFonts w:asciiTheme="minorHAnsi" w:hAnsiTheme="minorHAnsi" w:cstheme="minorHAnsi"/>
                <w:sz w:val="20"/>
              </w:rPr>
            </w:pPr>
            <w:r w:rsidRPr="00C238C6">
              <w:rPr>
                <w:rFonts w:asciiTheme="minorHAnsi" w:hAnsiTheme="minorHAnsi" w:cstheme="minorHAnsi"/>
                <w:sz w:val="20"/>
              </w:rPr>
              <w:t>Ιόνια Νησιά</w:t>
            </w:r>
          </w:p>
        </w:tc>
        <w:tc>
          <w:tcPr>
            <w:tcW w:w="4526" w:type="dxa"/>
          </w:tcPr>
          <w:p w:rsidR="00BA0628" w:rsidRPr="00C238C6" w:rsidRDefault="00BA0628" w:rsidP="00B250AE">
            <w:pPr>
              <w:spacing w:before="120" w:after="120"/>
              <w:jc w:val="both"/>
              <w:rPr>
                <w:rFonts w:asciiTheme="minorHAnsi" w:hAnsiTheme="minorHAnsi" w:cstheme="minorHAnsi"/>
                <w:b/>
                <w:bCs/>
                <w:sz w:val="20"/>
              </w:rPr>
            </w:pPr>
            <w:r w:rsidRPr="00C238C6">
              <w:rPr>
                <w:rFonts w:asciiTheme="minorHAnsi" w:hAnsiTheme="minorHAnsi" w:cstheme="minorHAnsi"/>
                <w:b/>
                <w:bCs/>
                <w:sz w:val="20"/>
              </w:rPr>
              <w:t>-12,35%</w:t>
            </w:r>
          </w:p>
        </w:tc>
      </w:tr>
      <w:tr w:rsidR="00BA0628" w:rsidRPr="00C238C6" w:rsidTr="00B250AE">
        <w:tc>
          <w:tcPr>
            <w:tcW w:w="4544" w:type="dxa"/>
          </w:tcPr>
          <w:p w:rsidR="00BA0628" w:rsidRPr="00C238C6" w:rsidRDefault="00BA0628" w:rsidP="00B250AE">
            <w:pPr>
              <w:spacing w:before="120" w:after="120"/>
              <w:jc w:val="right"/>
              <w:rPr>
                <w:rFonts w:asciiTheme="minorHAnsi" w:hAnsiTheme="minorHAnsi" w:cstheme="minorHAnsi"/>
                <w:sz w:val="20"/>
              </w:rPr>
            </w:pPr>
            <w:r w:rsidRPr="00C238C6">
              <w:rPr>
                <w:rFonts w:asciiTheme="minorHAnsi" w:hAnsiTheme="minorHAnsi" w:cstheme="minorHAnsi"/>
                <w:sz w:val="20"/>
              </w:rPr>
              <w:t>Ανατολική Μακεδονία και Θράκη</w:t>
            </w:r>
          </w:p>
        </w:tc>
        <w:tc>
          <w:tcPr>
            <w:tcW w:w="4526" w:type="dxa"/>
          </w:tcPr>
          <w:p w:rsidR="00BA0628" w:rsidRPr="00C238C6" w:rsidRDefault="00BA0628" w:rsidP="00B250AE">
            <w:pPr>
              <w:spacing w:before="120" w:after="120"/>
              <w:jc w:val="both"/>
              <w:rPr>
                <w:rFonts w:asciiTheme="minorHAnsi" w:hAnsiTheme="minorHAnsi" w:cstheme="minorHAnsi"/>
                <w:b/>
                <w:bCs/>
                <w:sz w:val="20"/>
              </w:rPr>
            </w:pPr>
            <w:r w:rsidRPr="00C238C6">
              <w:rPr>
                <w:rFonts w:asciiTheme="minorHAnsi" w:hAnsiTheme="minorHAnsi" w:cstheme="minorHAnsi"/>
                <w:b/>
                <w:bCs/>
                <w:sz w:val="20"/>
              </w:rPr>
              <w:t>-12,31%</w:t>
            </w:r>
          </w:p>
        </w:tc>
      </w:tr>
      <w:tr w:rsidR="00BA0628" w:rsidRPr="00C238C6" w:rsidTr="00B250AE">
        <w:tc>
          <w:tcPr>
            <w:tcW w:w="4544" w:type="dxa"/>
          </w:tcPr>
          <w:p w:rsidR="00BA0628" w:rsidRPr="00C238C6" w:rsidRDefault="00BA0628" w:rsidP="00B250AE">
            <w:pPr>
              <w:spacing w:before="120" w:after="120"/>
              <w:jc w:val="right"/>
              <w:rPr>
                <w:rFonts w:asciiTheme="minorHAnsi" w:hAnsiTheme="minorHAnsi" w:cstheme="minorHAnsi"/>
                <w:sz w:val="20"/>
              </w:rPr>
            </w:pPr>
            <w:r w:rsidRPr="00C238C6">
              <w:rPr>
                <w:rFonts w:asciiTheme="minorHAnsi" w:hAnsiTheme="minorHAnsi" w:cstheme="minorHAnsi"/>
                <w:sz w:val="20"/>
              </w:rPr>
              <w:t>Δυτική Μακεδονία</w:t>
            </w:r>
          </w:p>
        </w:tc>
        <w:tc>
          <w:tcPr>
            <w:tcW w:w="4526" w:type="dxa"/>
          </w:tcPr>
          <w:p w:rsidR="00BA0628" w:rsidRPr="00C238C6" w:rsidRDefault="00BA0628" w:rsidP="00B250AE">
            <w:pPr>
              <w:spacing w:before="120" w:after="120"/>
              <w:jc w:val="both"/>
              <w:rPr>
                <w:rFonts w:asciiTheme="minorHAnsi" w:hAnsiTheme="minorHAnsi" w:cstheme="minorHAnsi"/>
                <w:b/>
                <w:bCs/>
                <w:sz w:val="20"/>
              </w:rPr>
            </w:pPr>
            <w:r w:rsidRPr="00C238C6">
              <w:rPr>
                <w:rFonts w:asciiTheme="minorHAnsi" w:hAnsiTheme="minorHAnsi" w:cstheme="minorHAnsi"/>
                <w:b/>
                <w:bCs/>
                <w:sz w:val="20"/>
              </w:rPr>
              <w:t>-8,90%</w:t>
            </w:r>
          </w:p>
        </w:tc>
      </w:tr>
      <w:tr w:rsidR="00BA0628" w:rsidRPr="00C238C6" w:rsidTr="00B250AE">
        <w:tc>
          <w:tcPr>
            <w:tcW w:w="4544" w:type="dxa"/>
          </w:tcPr>
          <w:p w:rsidR="00BA0628" w:rsidRPr="00C238C6" w:rsidRDefault="00BA0628" w:rsidP="00B250AE">
            <w:pPr>
              <w:spacing w:before="120" w:after="120"/>
              <w:jc w:val="right"/>
              <w:rPr>
                <w:rFonts w:asciiTheme="minorHAnsi" w:hAnsiTheme="minorHAnsi" w:cstheme="minorHAnsi"/>
                <w:sz w:val="20"/>
              </w:rPr>
            </w:pPr>
            <w:r w:rsidRPr="00C238C6">
              <w:rPr>
                <w:rFonts w:asciiTheme="minorHAnsi" w:hAnsiTheme="minorHAnsi" w:cstheme="minorHAnsi"/>
                <w:sz w:val="20"/>
              </w:rPr>
              <w:t>Πελοπόννησος</w:t>
            </w:r>
          </w:p>
        </w:tc>
        <w:tc>
          <w:tcPr>
            <w:tcW w:w="4526" w:type="dxa"/>
          </w:tcPr>
          <w:p w:rsidR="00BA0628" w:rsidRPr="00C238C6" w:rsidRDefault="00BA0628" w:rsidP="00B250AE">
            <w:pPr>
              <w:spacing w:before="120" w:after="120"/>
              <w:jc w:val="both"/>
              <w:rPr>
                <w:rFonts w:asciiTheme="minorHAnsi" w:hAnsiTheme="minorHAnsi" w:cstheme="minorHAnsi"/>
                <w:b/>
                <w:bCs/>
                <w:sz w:val="20"/>
              </w:rPr>
            </w:pPr>
            <w:r w:rsidRPr="00C238C6">
              <w:rPr>
                <w:rFonts w:asciiTheme="minorHAnsi" w:hAnsiTheme="minorHAnsi" w:cstheme="minorHAnsi"/>
                <w:b/>
                <w:bCs/>
                <w:sz w:val="20"/>
              </w:rPr>
              <w:t>-7,63%</w:t>
            </w:r>
          </w:p>
        </w:tc>
      </w:tr>
      <w:tr w:rsidR="00BA0628" w:rsidRPr="00C238C6" w:rsidTr="00B250AE">
        <w:tc>
          <w:tcPr>
            <w:tcW w:w="4544" w:type="dxa"/>
          </w:tcPr>
          <w:p w:rsidR="00BA0628" w:rsidRPr="00C238C6" w:rsidRDefault="00BA0628" w:rsidP="00B250AE">
            <w:pPr>
              <w:spacing w:before="120" w:after="120"/>
              <w:jc w:val="right"/>
              <w:rPr>
                <w:rFonts w:asciiTheme="minorHAnsi" w:hAnsiTheme="minorHAnsi" w:cstheme="minorHAnsi"/>
                <w:sz w:val="20"/>
              </w:rPr>
            </w:pPr>
            <w:r w:rsidRPr="00C238C6">
              <w:rPr>
                <w:rFonts w:asciiTheme="minorHAnsi" w:hAnsiTheme="minorHAnsi" w:cstheme="minorHAnsi"/>
                <w:sz w:val="20"/>
              </w:rPr>
              <w:t>Κεντρική Μακεδονία</w:t>
            </w:r>
          </w:p>
        </w:tc>
        <w:tc>
          <w:tcPr>
            <w:tcW w:w="4526" w:type="dxa"/>
          </w:tcPr>
          <w:p w:rsidR="00BA0628" w:rsidRPr="00C238C6" w:rsidRDefault="00BA0628" w:rsidP="00B250AE">
            <w:pPr>
              <w:spacing w:before="120" w:after="120"/>
              <w:jc w:val="both"/>
              <w:rPr>
                <w:rFonts w:asciiTheme="minorHAnsi" w:hAnsiTheme="minorHAnsi" w:cstheme="minorHAnsi"/>
                <w:b/>
                <w:bCs/>
                <w:sz w:val="20"/>
              </w:rPr>
            </w:pPr>
            <w:r w:rsidRPr="00C238C6">
              <w:rPr>
                <w:rFonts w:asciiTheme="minorHAnsi" w:hAnsiTheme="minorHAnsi" w:cstheme="minorHAnsi"/>
                <w:b/>
                <w:bCs/>
                <w:sz w:val="20"/>
              </w:rPr>
              <w:t>-7,57%</w:t>
            </w:r>
          </w:p>
        </w:tc>
      </w:tr>
      <w:tr w:rsidR="00BA0628" w:rsidRPr="00C238C6" w:rsidTr="00B250AE">
        <w:tc>
          <w:tcPr>
            <w:tcW w:w="4544" w:type="dxa"/>
          </w:tcPr>
          <w:p w:rsidR="00BA0628" w:rsidRPr="00C238C6" w:rsidRDefault="00BA0628" w:rsidP="00B250AE">
            <w:pPr>
              <w:spacing w:before="120" w:after="120"/>
              <w:jc w:val="right"/>
              <w:rPr>
                <w:rFonts w:asciiTheme="minorHAnsi" w:hAnsiTheme="minorHAnsi" w:cstheme="minorHAnsi"/>
                <w:sz w:val="20"/>
              </w:rPr>
            </w:pPr>
            <w:r w:rsidRPr="00C238C6">
              <w:rPr>
                <w:rFonts w:asciiTheme="minorHAnsi" w:hAnsiTheme="minorHAnsi" w:cstheme="minorHAnsi"/>
                <w:sz w:val="20"/>
              </w:rPr>
              <w:t>Θεσσαλία</w:t>
            </w:r>
          </w:p>
        </w:tc>
        <w:tc>
          <w:tcPr>
            <w:tcW w:w="4526" w:type="dxa"/>
          </w:tcPr>
          <w:p w:rsidR="00BA0628" w:rsidRPr="00C238C6" w:rsidRDefault="00BA0628" w:rsidP="00B250AE">
            <w:pPr>
              <w:spacing w:before="120" w:after="120"/>
              <w:jc w:val="both"/>
              <w:rPr>
                <w:rFonts w:asciiTheme="minorHAnsi" w:hAnsiTheme="minorHAnsi" w:cstheme="minorHAnsi"/>
                <w:b/>
                <w:bCs/>
                <w:sz w:val="20"/>
              </w:rPr>
            </w:pPr>
            <w:r w:rsidRPr="00C238C6">
              <w:rPr>
                <w:rFonts w:asciiTheme="minorHAnsi" w:hAnsiTheme="minorHAnsi" w:cstheme="minorHAnsi"/>
                <w:b/>
                <w:bCs/>
                <w:sz w:val="20"/>
              </w:rPr>
              <w:t>-7,21%</w:t>
            </w:r>
          </w:p>
        </w:tc>
      </w:tr>
      <w:tr w:rsidR="00BA0628" w:rsidRPr="00C238C6" w:rsidTr="00B250AE">
        <w:tc>
          <w:tcPr>
            <w:tcW w:w="4544" w:type="dxa"/>
          </w:tcPr>
          <w:p w:rsidR="00BA0628" w:rsidRPr="00C238C6" w:rsidRDefault="00BA0628" w:rsidP="00B250AE">
            <w:pPr>
              <w:spacing w:before="120" w:after="120"/>
              <w:jc w:val="right"/>
              <w:rPr>
                <w:rFonts w:asciiTheme="minorHAnsi" w:hAnsiTheme="minorHAnsi" w:cstheme="minorHAnsi"/>
                <w:sz w:val="20"/>
              </w:rPr>
            </w:pPr>
            <w:r w:rsidRPr="00C238C6">
              <w:rPr>
                <w:rFonts w:asciiTheme="minorHAnsi" w:hAnsiTheme="minorHAnsi" w:cstheme="minorHAnsi"/>
                <w:sz w:val="20"/>
              </w:rPr>
              <w:t>Νότιο Αιγαίο</w:t>
            </w:r>
          </w:p>
        </w:tc>
        <w:tc>
          <w:tcPr>
            <w:tcW w:w="4526" w:type="dxa"/>
          </w:tcPr>
          <w:p w:rsidR="00BA0628" w:rsidRPr="00C238C6" w:rsidRDefault="00BA0628" w:rsidP="00B250AE">
            <w:pPr>
              <w:spacing w:before="120" w:after="120"/>
              <w:jc w:val="both"/>
              <w:rPr>
                <w:rFonts w:asciiTheme="minorHAnsi" w:hAnsiTheme="minorHAnsi" w:cstheme="minorHAnsi"/>
                <w:b/>
                <w:bCs/>
                <w:sz w:val="20"/>
              </w:rPr>
            </w:pPr>
            <w:r w:rsidRPr="00C238C6">
              <w:rPr>
                <w:rFonts w:asciiTheme="minorHAnsi" w:hAnsiTheme="minorHAnsi" w:cstheme="minorHAnsi"/>
                <w:b/>
                <w:bCs/>
                <w:sz w:val="20"/>
              </w:rPr>
              <w:t>-5,77%</w:t>
            </w:r>
          </w:p>
        </w:tc>
      </w:tr>
      <w:tr w:rsidR="00BA0628" w:rsidRPr="00C238C6" w:rsidTr="00B250AE">
        <w:tc>
          <w:tcPr>
            <w:tcW w:w="4544" w:type="dxa"/>
          </w:tcPr>
          <w:p w:rsidR="00BA0628" w:rsidRPr="00C238C6" w:rsidRDefault="00BA0628" w:rsidP="00B250AE">
            <w:pPr>
              <w:spacing w:before="120" w:after="120"/>
              <w:jc w:val="right"/>
              <w:rPr>
                <w:rFonts w:asciiTheme="minorHAnsi" w:hAnsiTheme="minorHAnsi" w:cstheme="minorHAnsi"/>
                <w:sz w:val="20"/>
              </w:rPr>
            </w:pPr>
            <w:r w:rsidRPr="00C238C6">
              <w:rPr>
                <w:rFonts w:asciiTheme="minorHAnsi" w:hAnsiTheme="minorHAnsi" w:cstheme="minorHAnsi"/>
                <w:sz w:val="20"/>
              </w:rPr>
              <w:t>Κρήτη</w:t>
            </w:r>
          </w:p>
        </w:tc>
        <w:tc>
          <w:tcPr>
            <w:tcW w:w="4526" w:type="dxa"/>
          </w:tcPr>
          <w:p w:rsidR="00BA0628" w:rsidRPr="00C238C6" w:rsidRDefault="00BA0628" w:rsidP="00B250AE">
            <w:pPr>
              <w:spacing w:before="120" w:after="120"/>
              <w:jc w:val="both"/>
              <w:rPr>
                <w:rFonts w:asciiTheme="minorHAnsi" w:hAnsiTheme="minorHAnsi" w:cstheme="minorHAnsi"/>
                <w:b/>
                <w:bCs/>
                <w:sz w:val="20"/>
              </w:rPr>
            </w:pPr>
            <w:r w:rsidRPr="00C238C6">
              <w:rPr>
                <w:rFonts w:asciiTheme="minorHAnsi" w:hAnsiTheme="minorHAnsi" w:cstheme="minorHAnsi"/>
                <w:b/>
                <w:bCs/>
                <w:sz w:val="20"/>
              </w:rPr>
              <w:t>-3,61%</w:t>
            </w:r>
          </w:p>
        </w:tc>
      </w:tr>
      <w:tr w:rsidR="00BA0628" w:rsidRPr="00C238C6" w:rsidTr="00B250AE">
        <w:tc>
          <w:tcPr>
            <w:tcW w:w="4544" w:type="dxa"/>
          </w:tcPr>
          <w:p w:rsidR="00BA0628" w:rsidRPr="00C238C6" w:rsidRDefault="00BA0628" w:rsidP="00B250AE">
            <w:pPr>
              <w:spacing w:before="120" w:after="120"/>
              <w:jc w:val="right"/>
              <w:rPr>
                <w:rFonts w:asciiTheme="minorHAnsi" w:hAnsiTheme="minorHAnsi" w:cstheme="minorHAnsi"/>
                <w:sz w:val="20"/>
              </w:rPr>
            </w:pPr>
            <w:r w:rsidRPr="00C238C6">
              <w:rPr>
                <w:rFonts w:asciiTheme="minorHAnsi" w:hAnsiTheme="minorHAnsi" w:cstheme="minorHAnsi"/>
                <w:sz w:val="20"/>
              </w:rPr>
              <w:t>Βόρειο Αιγαίο</w:t>
            </w:r>
          </w:p>
        </w:tc>
        <w:tc>
          <w:tcPr>
            <w:tcW w:w="4526" w:type="dxa"/>
          </w:tcPr>
          <w:p w:rsidR="00BA0628" w:rsidRPr="00C238C6" w:rsidRDefault="00BA0628" w:rsidP="00B250AE">
            <w:pPr>
              <w:spacing w:before="120" w:after="120"/>
              <w:jc w:val="both"/>
              <w:rPr>
                <w:rFonts w:asciiTheme="minorHAnsi" w:hAnsiTheme="minorHAnsi" w:cstheme="minorHAnsi"/>
                <w:b/>
                <w:bCs/>
                <w:sz w:val="20"/>
              </w:rPr>
            </w:pPr>
            <w:r w:rsidRPr="00C238C6">
              <w:rPr>
                <w:rFonts w:asciiTheme="minorHAnsi" w:hAnsiTheme="minorHAnsi" w:cstheme="minorHAnsi"/>
                <w:b/>
                <w:bCs/>
                <w:sz w:val="20"/>
              </w:rPr>
              <w:t>-2,29%</w:t>
            </w:r>
          </w:p>
        </w:tc>
      </w:tr>
    </w:tbl>
    <w:p w:rsidR="00BA0628" w:rsidRDefault="00BA0628"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5C6CE4" w:rsidRDefault="005C6CE4"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p>
    <w:p w:rsidR="00607E44" w:rsidRDefault="00607E44" w:rsidP="00BA0628">
      <w:pPr>
        <w:spacing w:before="120" w:after="120"/>
        <w:jc w:val="center"/>
        <w:rPr>
          <w:rFonts w:asciiTheme="minorHAnsi" w:hAnsiTheme="minorHAnsi" w:cstheme="minorHAnsi"/>
          <w:i/>
        </w:rPr>
      </w:pPr>
    </w:p>
    <w:p w:rsidR="00DF5D40" w:rsidRDefault="00DF5D40"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r>
        <w:rPr>
          <w:rFonts w:asciiTheme="minorHAnsi" w:hAnsiTheme="minorHAnsi" w:cstheme="minorHAnsi"/>
          <w:i/>
        </w:rPr>
        <w:t>Πίνακας 2: Απόλυτες τιμές και ποσοστιαία αύξηση του «κατά κεφαλήν» ΑΕΠ στις δεκατρείς περιφέρειες της χώρας. Έτη 2000 και 2016.</w:t>
      </w:r>
    </w:p>
    <w:p w:rsidR="00BA0628" w:rsidRDefault="00BA0628" w:rsidP="00BA0628">
      <w:pPr>
        <w:spacing w:before="120" w:after="120"/>
        <w:jc w:val="center"/>
        <w:rPr>
          <w:rFonts w:ascii="Times New Roman" w:hAnsi="Times New Roman"/>
          <w:sz w:val="20"/>
          <w:szCs w:val="20"/>
        </w:rPr>
      </w:pPr>
      <w:r>
        <w:rPr>
          <w:rFonts w:ascii="Calibri" w:hAnsi="Calibri"/>
          <w:sz w:val="20"/>
        </w:rPr>
        <w:t>Π</w:t>
      </w:r>
      <w:r w:rsidRPr="00EE5AAF">
        <w:rPr>
          <w:rFonts w:ascii="Calibri" w:hAnsi="Calibri"/>
          <w:sz w:val="20"/>
        </w:rPr>
        <w:t>η</w:t>
      </w:r>
      <w:r>
        <w:rPr>
          <w:rFonts w:ascii="Calibri" w:hAnsi="Calibri"/>
          <w:sz w:val="20"/>
        </w:rPr>
        <w:t xml:space="preserve">γή: </w:t>
      </w:r>
      <w:r>
        <w:rPr>
          <w:rFonts w:ascii="Calibri" w:hAnsi="Calibri"/>
          <w:sz w:val="20"/>
          <w:lang w:val="en-US"/>
        </w:rPr>
        <w:t>Eurostat</w:t>
      </w:r>
      <w:r>
        <w:rPr>
          <w:rFonts w:asciiTheme="minorHAnsi" w:hAnsiTheme="minorHAnsi" w:cstheme="minorHAnsi"/>
        </w:rPr>
        <w:fldChar w:fldCharType="begin"/>
      </w:r>
      <w:r>
        <w:rPr>
          <w:rFonts w:asciiTheme="minorHAnsi" w:hAnsiTheme="minorHAnsi" w:cstheme="minorHAnsi"/>
        </w:rPr>
        <w:instrText xml:space="preserve"> LINK </w:instrText>
      </w:r>
      <w:r w:rsidR="005C6CE4">
        <w:rPr>
          <w:rFonts w:asciiTheme="minorHAnsi" w:hAnsiTheme="minorHAnsi" w:cstheme="minorHAnsi"/>
        </w:rPr>
        <w:instrText xml:space="preserve">Excel.Sheet.12 "C:\\Users\\christos.FING\\Documents\\1 ΕΡΓΟ ΤΜΗΜΑΤΟΣ\\2018\\8 ΑΥΓΟΥΣΤΟΣ\\Αποκλίσεις.xlsx" Total!R39C2:R50C20 </w:instrText>
      </w:r>
      <w:r>
        <w:rPr>
          <w:rFonts w:asciiTheme="minorHAnsi" w:hAnsiTheme="minorHAnsi" w:cstheme="minorHAnsi"/>
        </w:rPr>
        <w:instrText xml:space="preserve">\a \f 5 \h  \* MERGEFORMAT </w:instrText>
      </w:r>
      <w:r>
        <w:rPr>
          <w:rFonts w:asciiTheme="minorHAnsi" w:hAnsiTheme="minorHAnsi" w:cstheme="minorHAnsi"/>
        </w:rPr>
        <w:fldChar w:fldCharType="separate"/>
      </w:r>
    </w:p>
    <w:tbl>
      <w:tblPr>
        <w:tblStyle w:val="a7"/>
        <w:tblW w:w="5373" w:type="dxa"/>
        <w:jc w:val="center"/>
        <w:tblLook w:val="04A0" w:firstRow="1" w:lastRow="0" w:firstColumn="1" w:lastColumn="0" w:noHBand="0" w:noVBand="1"/>
      </w:tblPr>
      <w:tblGrid>
        <w:gridCol w:w="2287"/>
        <w:gridCol w:w="1031"/>
        <w:gridCol w:w="1026"/>
        <w:gridCol w:w="1029"/>
      </w:tblGrid>
      <w:tr w:rsidR="00BA0628" w:rsidRPr="003C784E" w:rsidTr="00B250AE">
        <w:trPr>
          <w:trHeight w:val="225"/>
          <w:jc w:val="center"/>
        </w:trPr>
        <w:tc>
          <w:tcPr>
            <w:tcW w:w="2287" w:type="dxa"/>
            <w:vAlign w:val="center"/>
          </w:tcPr>
          <w:p w:rsidR="00BA0628" w:rsidRPr="003C784E" w:rsidRDefault="00BA0628" w:rsidP="00B250AE">
            <w:pPr>
              <w:spacing w:before="120" w:after="120"/>
              <w:jc w:val="center"/>
              <w:rPr>
                <w:rFonts w:asciiTheme="minorHAnsi" w:hAnsiTheme="minorHAnsi" w:cstheme="minorHAnsi"/>
                <w:b/>
                <w:sz w:val="20"/>
                <w:szCs w:val="20"/>
              </w:rPr>
            </w:pPr>
            <w:r w:rsidRPr="003C784E">
              <w:rPr>
                <w:rFonts w:asciiTheme="minorHAnsi" w:hAnsiTheme="minorHAnsi" w:cstheme="minorHAnsi"/>
                <w:b/>
                <w:sz w:val="20"/>
                <w:szCs w:val="20"/>
              </w:rPr>
              <w:t>ΠΕΡΙΦΕΡΕΙΑ</w:t>
            </w:r>
          </w:p>
        </w:tc>
        <w:tc>
          <w:tcPr>
            <w:tcW w:w="1031" w:type="dxa"/>
            <w:noWrap/>
            <w:vAlign w:val="center"/>
          </w:tcPr>
          <w:p w:rsidR="00BA0628" w:rsidRPr="003C784E" w:rsidRDefault="00BA0628" w:rsidP="00B250AE">
            <w:pPr>
              <w:spacing w:before="120" w:after="120"/>
              <w:jc w:val="center"/>
              <w:rPr>
                <w:rFonts w:asciiTheme="minorHAnsi" w:hAnsiTheme="minorHAnsi" w:cstheme="minorHAnsi"/>
                <w:b/>
                <w:sz w:val="20"/>
                <w:szCs w:val="20"/>
              </w:rPr>
            </w:pPr>
            <w:r w:rsidRPr="003C784E">
              <w:rPr>
                <w:rFonts w:asciiTheme="minorHAnsi" w:hAnsiTheme="minorHAnsi" w:cstheme="minorHAnsi"/>
                <w:b/>
                <w:sz w:val="20"/>
                <w:szCs w:val="20"/>
              </w:rPr>
              <w:t>200</w:t>
            </w:r>
            <w:r>
              <w:rPr>
                <w:rFonts w:asciiTheme="minorHAnsi" w:hAnsiTheme="minorHAnsi" w:cstheme="minorHAnsi"/>
                <w:b/>
                <w:sz w:val="20"/>
                <w:szCs w:val="20"/>
              </w:rPr>
              <w:t>0</w:t>
            </w:r>
          </w:p>
        </w:tc>
        <w:tc>
          <w:tcPr>
            <w:tcW w:w="1026" w:type="dxa"/>
            <w:noWrap/>
            <w:vAlign w:val="center"/>
          </w:tcPr>
          <w:p w:rsidR="00BA0628" w:rsidRPr="003C784E" w:rsidRDefault="00BA0628" w:rsidP="00B250AE">
            <w:pPr>
              <w:spacing w:before="120" w:after="120"/>
              <w:jc w:val="center"/>
              <w:rPr>
                <w:rFonts w:asciiTheme="minorHAnsi" w:hAnsiTheme="minorHAnsi" w:cstheme="minorHAnsi"/>
                <w:b/>
                <w:sz w:val="20"/>
                <w:szCs w:val="20"/>
              </w:rPr>
            </w:pPr>
            <w:r w:rsidRPr="003C784E">
              <w:rPr>
                <w:rFonts w:asciiTheme="minorHAnsi" w:hAnsiTheme="minorHAnsi" w:cstheme="minorHAnsi"/>
                <w:b/>
                <w:sz w:val="20"/>
                <w:szCs w:val="20"/>
              </w:rPr>
              <w:t xml:space="preserve">2016 </w:t>
            </w:r>
          </w:p>
        </w:tc>
        <w:tc>
          <w:tcPr>
            <w:tcW w:w="1029" w:type="dxa"/>
            <w:noWrap/>
            <w:vAlign w:val="center"/>
          </w:tcPr>
          <w:p w:rsidR="00BA0628" w:rsidRPr="003C784E" w:rsidRDefault="00BA0628" w:rsidP="00B250AE">
            <w:pPr>
              <w:spacing w:before="120" w:after="120"/>
              <w:jc w:val="center"/>
              <w:rPr>
                <w:rFonts w:asciiTheme="minorHAnsi" w:hAnsiTheme="minorHAnsi" w:cstheme="minorHAnsi"/>
                <w:b/>
                <w:bCs/>
                <w:sz w:val="20"/>
                <w:szCs w:val="20"/>
              </w:rPr>
            </w:pPr>
            <w:r>
              <w:rPr>
                <w:rFonts w:asciiTheme="minorHAnsi" w:hAnsiTheme="minorHAnsi" w:cstheme="minorHAnsi"/>
                <w:b/>
                <w:bCs/>
                <w:sz w:val="20"/>
                <w:szCs w:val="20"/>
              </w:rPr>
              <w:t>ΑΥΞΗΣΗ…</w:t>
            </w:r>
          </w:p>
        </w:tc>
      </w:tr>
      <w:tr w:rsidR="00BA0628" w:rsidRPr="003C784E" w:rsidTr="00B250AE">
        <w:trPr>
          <w:trHeight w:val="225"/>
          <w:jc w:val="center"/>
        </w:trPr>
        <w:tc>
          <w:tcPr>
            <w:tcW w:w="2287" w:type="dxa"/>
            <w:shd w:val="clear" w:color="auto" w:fill="FFE599" w:themeFill="accent4" w:themeFillTint="66"/>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Αττική</w:t>
            </w:r>
          </w:p>
        </w:tc>
        <w:tc>
          <w:tcPr>
            <w:tcW w:w="1031" w:type="dxa"/>
            <w:shd w:val="clear" w:color="auto" w:fill="FFE599" w:themeFill="accent4" w:themeFillTint="66"/>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16.700</w:t>
            </w:r>
          </w:p>
        </w:tc>
        <w:tc>
          <w:tcPr>
            <w:tcW w:w="1026" w:type="dxa"/>
            <w:shd w:val="clear" w:color="auto" w:fill="FFE599" w:themeFill="accent4" w:themeFillTint="66"/>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22.100</w:t>
            </w:r>
          </w:p>
        </w:tc>
        <w:tc>
          <w:tcPr>
            <w:tcW w:w="1029" w:type="dxa"/>
            <w:shd w:val="clear" w:color="auto" w:fill="FFE599" w:themeFill="accent4" w:themeFillTint="66"/>
            <w:noWrap/>
            <w:vAlign w:val="center"/>
            <w:hideMark/>
          </w:tcPr>
          <w:p w:rsidR="00BA0628" w:rsidRPr="003C784E" w:rsidRDefault="00BA0628" w:rsidP="00B250AE">
            <w:pPr>
              <w:spacing w:before="120" w:after="120"/>
              <w:jc w:val="center"/>
              <w:rPr>
                <w:rFonts w:asciiTheme="minorHAnsi" w:hAnsiTheme="minorHAnsi" w:cstheme="minorHAnsi"/>
                <w:b/>
                <w:bCs/>
                <w:sz w:val="20"/>
                <w:szCs w:val="20"/>
              </w:rPr>
            </w:pPr>
            <w:r w:rsidRPr="003C784E">
              <w:rPr>
                <w:rFonts w:asciiTheme="minorHAnsi" w:hAnsiTheme="minorHAnsi" w:cstheme="minorHAnsi"/>
                <w:b/>
                <w:bCs/>
                <w:sz w:val="20"/>
                <w:szCs w:val="20"/>
              </w:rPr>
              <w:t>32,34%</w:t>
            </w:r>
          </w:p>
        </w:tc>
      </w:tr>
      <w:tr w:rsidR="00BA0628" w:rsidRPr="003C784E" w:rsidTr="00B250AE">
        <w:trPr>
          <w:trHeight w:val="225"/>
          <w:jc w:val="center"/>
        </w:trPr>
        <w:tc>
          <w:tcPr>
            <w:tcW w:w="2287" w:type="dxa"/>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Δυτική Μακεδονία</w:t>
            </w:r>
          </w:p>
        </w:tc>
        <w:tc>
          <w:tcPr>
            <w:tcW w:w="1031"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11.500</w:t>
            </w:r>
          </w:p>
        </w:tc>
        <w:tc>
          <w:tcPr>
            <w:tcW w:w="1026"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14.100</w:t>
            </w:r>
          </w:p>
        </w:tc>
        <w:tc>
          <w:tcPr>
            <w:tcW w:w="1029" w:type="dxa"/>
            <w:noWrap/>
            <w:vAlign w:val="center"/>
            <w:hideMark/>
          </w:tcPr>
          <w:p w:rsidR="00BA0628" w:rsidRPr="003C784E" w:rsidRDefault="00BA0628" w:rsidP="00B250AE">
            <w:pPr>
              <w:spacing w:before="120" w:after="120"/>
              <w:jc w:val="center"/>
              <w:rPr>
                <w:rFonts w:asciiTheme="minorHAnsi" w:hAnsiTheme="minorHAnsi" w:cstheme="minorHAnsi"/>
                <w:b/>
                <w:bCs/>
                <w:sz w:val="20"/>
                <w:szCs w:val="20"/>
              </w:rPr>
            </w:pPr>
            <w:r w:rsidRPr="003C784E">
              <w:rPr>
                <w:rFonts w:asciiTheme="minorHAnsi" w:hAnsiTheme="minorHAnsi" w:cstheme="minorHAnsi"/>
                <w:b/>
                <w:bCs/>
                <w:sz w:val="20"/>
                <w:szCs w:val="20"/>
              </w:rPr>
              <w:t>22,61%</w:t>
            </w:r>
          </w:p>
        </w:tc>
      </w:tr>
      <w:tr w:rsidR="00BA0628" w:rsidRPr="003C784E" w:rsidTr="00B250AE">
        <w:trPr>
          <w:trHeight w:val="225"/>
          <w:jc w:val="center"/>
        </w:trPr>
        <w:tc>
          <w:tcPr>
            <w:tcW w:w="2287" w:type="dxa"/>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Βόρειο Αιγαίο</w:t>
            </w:r>
          </w:p>
        </w:tc>
        <w:tc>
          <w:tcPr>
            <w:tcW w:w="1031"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9.800</w:t>
            </w:r>
          </w:p>
        </w:tc>
        <w:tc>
          <w:tcPr>
            <w:tcW w:w="1026"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12.000</w:t>
            </w:r>
          </w:p>
        </w:tc>
        <w:tc>
          <w:tcPr>
            <w:tcW w:w="1029" w:type="dxa"/>
            <w:noWrap/>
            <w:vAlign w:val="center"/>
            <w:hideMark/>
          </w:tcPr>
          <w:p w:rsidR="00BA0628" w:rsidRPr="003C784E" w:rsidRDefault="00BA0628" w:rsidP="00B250AE">
            <w:pPr>
              <w:spacing w:before="120" w:after="120"/>
              <w:jc w:val="center"/>
              <w:rPr>
                <w:rFonts w:asciiTheme="minorHAnsi" w:hAnsiTheme="minorHAnsi" w:cstheme="minorHAnsi"/>
                <w:b/>
                <w:bCs/>
                <w:sz w:val="20"/>
                <w:szCs w:val="20"/>
              </w:rPr>
            </w:pPr>
            <w:r w:rsidRPr="003C784E">
              <w:rPr>
                <w:rFonts w:asciiTheme="minorHAnsi" w:hAnsiTheme="minorHAnsi" w:cstheme="minorHAnsi"/>
                <w:b/>
                <w:bCs/>
                <w:sz w:val="20"/>
                <w:szCs w:val="20"/>
              </w:rPr>
              <w:t>22,45%</w:t>
            </w:r>
          </w:p>
        </w:tc>
      </w:tr>
      <w:tr w:rsidR="00BA0628" w:rsidRPr="003C784E" w:rsidTr="00B250AE">
        <w:trPr>
          <w:trHeight w:val="225"/>
          <w:jc w:val="center"/>
        </w:trPr>
        <w:tc>
          <w:tcPr>
            <w:tcW w:w="2287" w:type="dxa"/>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Θεσσαλία</w:t>
            </w:r>
          </w:p>
        </w:tc>
        <w:tc>
          <w:tcPr>
            <w:tcW w:w="1031"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10.200</w:t>
            </w:r>
          </w:p>
        </w:tc>
        <w:tc>
          <w:tcPr>
            <w:tcW w:w="1026"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12.400</w:t>
            </w:r>
          </w:p>
        </w:tc>
        <w:tc>
          <w:tcPr>
            <w:tcW w:w="1029" w:type="dxa"/>
            <w:noWrap/>
            <w:vAlign w:val="center"/>
            <w:hideMark/>
          </w:tcPr>
          <w:p w:rsidR="00BA0628" w:rsidRPr="003C784E" w:rsidRDefault="00BA0628" w:rsidP="00B250AE">
            <w:pPr>
              <w:spacing w:before="120" w:after="120"/>
              <w:jc w:val="center"/>
              <w:rPr>
                <w:rFonts w:asciiTheme="minorHAnsi" w:hAnsiTheme="minorHAnsi" w:cstheme="minorHAnsi"/>
                <w:b/>
                <w:bCs/>
                <w:sz w:val="20"/>
                <w:szCs w:val="20"/>
              </w:rPr>
            </w:pPr>
            <w:r w:rsidRPr="003C784E">
              <w:rPr>
                <w:rFonts w:asciiTheme="minorHAnsi" w:hAnsiTheme="minorHAnsi" w:cstheme="minorHAnsi"/>
                <w:b/>
                <w:bCs/>
                <w:sz w:val="20"/>
                <w:szCs w:val="20"/>
              </w:rPr>
              <w:t>21,57%</w:t>
            </w:r>
          </w:p>
        </w:tc>
      </w:tr>
      <w:tr w:rsidR="00BA0628" w:rsidRPr="003C784E" w:rsidTr="00B250AE">
        <w:trPr>
          <w:trHeight w:val="225"/>
          <w:jc w:val="center"/>
        </w:trPr>
        <w:tc>
          <w:tcPr>
            <w:tcW w:w="2287" w:type="dxa"/>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Πελοπόννησος</w:t>
            </w:r>
          </w:p>
        </w:tc>
        <w:tc>
          <w:tcPr>
            <w:tcW w:w="1031"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11.000</w:t>
            </w:r>
          </w:p>
        </w:tc>
        <w:tc>
          <w:tcPr>
            <w:tcW w:w="1026"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13.200</w:t>
            </w:r>
          </w:p>
        </w:tc>
        <w:tc>
          <w:tcPr>
            <w:tcW w:w="1029" w:type="dxa"/>
            <w:noWrap/>
            <w:vAlign w:val="center"/>
            <w:hideMark/>
          </w:tcPr>
          <w:p w:rsidR="00BA0628" w:rsidRPr="003C784E" w:rsidRDefault="00BA0628" w:rsidP="00B250AE">
            <w:pPr>
              <w:spacing w:before="120" w:after="120"/>
              <w:jc w:val="center"/>
              <w:rPr>
                <w:rFonts w:asciiTheme="minorHAnsi" w:hAnsiTheme="minorHAnsi" w:cstheme="minorHAnsi"/>
                <w:b/>
                <w:bCs/>
                <w:sz w:val="20"/>
                <w:szCs w:val="20"/>
              </w:rPr>
            </w:pPr>
            <w:r w:rsidRPr="003C784E">
              <w:rPr>
                <w:rFonts w:asciiTheme="minorHAnsi" w:hAnsiTheme="minorHAnsi" w:cstheme="minorHAnsi"/>
                <w:b/>
                <w:bCs/>
                <w:sz w:val="20"/>
                <w:szCs w:val="20"/>
              </w:rPr>
              <w:t>20,00%</w:t>
            </w:r>
          </w:p>
        </w:tc>
      </w:tr>
      <w:tr w:rsidR="00BA0628" w:rsidRPr="003C784E" w:rsidTr="00B250AE">
        <w:trPr>
          <w:trHeight w:val="225"/>
          <w:jc w:val="center"/>
        </w:trPr>
        <w:tc>
          <w:tcPr>
            <w:tcW w:w="2287" w:type="dxa"/>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Δυτική Ελλάδα</w:t>
            </w:r>
          </w:p>
        </w:tc>
        <w:tc>
          <w:tcPr>
            <w:tcW w:w="1031"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9.900</w:t>
            </w:r>
          </w:p>
        </w:tc>
        <w:tc>
          <w:tcPr>
            <w:tcW w:w="1026"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11.800</w:t>
            </w:r>
          </w:p>
        </w:tc>
        <w:tc>
          <w:tcPr>
            <w:tcW w:w="1029" w:type="dxa"/>
            <w:noWrap/>
            <w:vAlign w:val="center"/>
            <w:hideMark/>
          </w:tcPr>
          <w:p w:rsidR="00BA0628" w:rsidRPr="003C784E" w:rsidRDefault="00BA0628" w:rsidP="00B250AE">
            <w:pPr>
              <w:spacing w:before="120" w:after="120"/>
              <w:jc w:val="center"/>
              <w:rPr>
                <w:rFonts w:asciiTheme="minorHAnsi" w:hAnsiTheme="minorHAnsi" w:cstheme="minorHAnsi"/>
                <w:b/>
                <w:bCs/>
                <w:sz w:val="20"/>
                <w:szCs w:val="20"/>
              </w:rPr>
            </w:pPr>
            <w:r w:rsidRPr="003C784E">
              <w:rPr>
                <w:rFonts w:asciiTheme="minorHAnsi" w:hAnsiTheme="minorHAnsi" w:cstheme="minorHAnsi"/>
                <w:b/>
                <w:bCs/>
                <w:sz w:val="20"/>
                <w:szCs w:val="20"/>
              </w:rPr>
              <w:t>19,19%</w:t>
            </w:r>
          </w:p>
        </w:tc>
      </w:tr>
      <w:tr w:rsidR="00BA0628" w:rsidRPr="003C784E" w:rsidTr="00B250AE">
        <w:trPr>
          <w:trHeight w:val="225"/>
          <w:jc w:val="center"/>
        </w:trPr>
        <w:tc>
          <w:tcPr>
            <w:tcW w:w="2287" w:type="dxa"/>
            <w:shd w:val="clear" w:color="auto" w:fill="FFE599" w:themeFill="accent4" w:themeFillTint="66"/>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Κεντρική Μακεδονία</w:t>
            </w:r>
          </w:p>
        </w:tc>
        <w:tc>
          <w:tcPr>
            <w:tcW w:w="1031" w:type="dxa"/>
            <w:shd w:val="clear" w:color="auto" w:fill="FFE599" w:themeFill="accent4" w:themeFillTint="66"/>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10.900</w:t>
            </w:r>
          </w:p>
        </w:tc>
        <w:tc>
          <w:tcPr>
            <w:tcW w:w="1026" w:type="dxa"/>
            <w:shd w:val="clear" w:color="auto" w:fill="FFE599" w:themeFill="accent4" w:themeFillTint="66"/>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12.700</w:t>
            </w:r>
          </w:p>
        </w:tc>
        <w:tc>
          <w:tcPr>
            <w:tcW w:w="1029" w:type="dxa"/>
            <w:shd w:val="clear" w:color="auto" w:fill="FFE599" w:themeFill="accent4" w:themeFillTint="66"/>
            <w:noWrap/>
            <w:vAlign w:val="center"/>
            <w:hideMark/>
          </w:tcPr>
          <w:p w:rsidR="00BA0628" w:rsidRPr="003C784E" w:rsidRDefault="00BA0628" w:rsidP="00B250AE">
            <w:pPr>
              <w:spacing w:before="120" w:after="120"/>
              <w:jc w:val="center"/>
              <w:rPr>
                <w:rFonts w:asciiTheme="minorHAnsi" w:hAnsiTheme="minorHAnsi" w:cstheme="minorHAnsi"/>
                <w:b/>
                <w:bCs/>
                <w:sz w:val="20"/>
                <w:szCs w:val="20"/>
              </w:rPr>
            </w:pPr>
            <w:r w:rsidRPr="003C784E">
              <w:rPr>
                <w:rFonts w:asciiTheme="minorHAnsi" w:hAnsiTheme="minorHAnsi" w:cstheme="minorHAnsi"/>
                <w:b/>
                <w:bCs/>
                <w:sz w:val="20"/>
                <w:szCs w:val="20"/>
              </w:rPr>
              <w:t>16,51%</w:t>
            </w:r>
          </w:p>
        </w:tc>
      </w:tr>
      <w:tr w:rsidR="00BA0628" w:rsidRPr="003C784E" w:rsidTr="00B250AE">
        <w:trPr>
          <w:trHeight w:val="225"/>
          <w:jc w:val="center"/>
        </w:trPr>
        <w:tc>
          <w:tcPr>
            <w:tcW w:w="2287" w:type="dxa"/>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Κρήτη</w:t>
            </w:r>
          </w:p>
        </w:tc>
        <w:tc>
          <w:tcPr>
            <w:tcW w:w="1031"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12.100</w:t>
            </w:r>
          </w:p>
        </w:tc>
        <w:tc>
          <w:tcPr>
            <w:tcW w:w="1026"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13.700</w:t>
            </w:r>
          </w:p>
        </w:tc>
        <w:tc>
          <w:tcPr>
            <w:tcW w:w="1029" w:type="dxa"/>
            <w:noWrap/>
            <w:vAlign w:val="center"/>
            <w:hideMark/>
          </w:tcPr>
          <w:p w:rsidR="00BA0628" w:rsidRPr="003C784E" w:rsidRDefault="00BA0628" w:rsidP="00B250AE">
            <w:pPr>
              <w:spacing w:before="120" w:after="120"/>
              <w:jc w:val="center"/>
              <w:rPr>
                <w:rFonts w:asciiTheme="minorHAnsi" w:hAnsiTheme="minorHAnsi" w:cstheme="minorHAnsi"/>
                <w:b/>
                <w:bCs/>
                <w:sz w:val="20"/>
                <w:szCs w:val="20"/>
              </w:rPr>
            </w:pPr>
            <w:r w:rsidRPr="003C784E">
              <w:rPr>
                <w:rFonts w:asciiTheme="minorHAnsi" w:hAnsiTheme="minorHAnsi" w:cstheme="minorHAnsi"/>
                <w:b/>
                <w:bCs/>
                <w:sz w:val="20"/>
                <w:szCs w:val="20"/>
              </w:rPr>
              <w:t>13,22%</w:t>
            </w:r>
          </w:p>
        </w:tc>
      </w:tr>
      <w:tr w:rsidR="00BA0628" w:rsidRPr="003C784E" w:rsidTr="00B250AE">
        <w:trPr>
          <w:trHeight w:val="225"/>
          <w:jc w:val="center"/>
        </w:trPr>
        <w:tc>
          <w:tcPr>
            <w:tcW w:w="2287" w:type="dxa"/>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Ήπειρος</w:t>
            </w:r>
          </w:p>
        </w:tc>
        <w:tc>
          <w:tcPr>
            <w:tcW w:w="1031"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10.100</w:t>
            </w:r>
          </w:p>
        </w:tc>
        <w:tc>
          <w:tcPr>
            <w:tcW w:w="1026"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11.400</w:t>
            </w:r>
          </w:p>
        </w:tc>
        <w:tc>
          <w:tcPr>
            <w:tcW w:w="1029" w:type="dxa"/>
            <w:noWrap/>
            <w:vAlign w:val="center"/>
            <w:hideMark/>
          </w:tcPr>
          <w:p w:rsidR="00BA0628" w:rsidRPr="003C784E" w:rsidRDefault="00BA0628" w:rsidP="00B250AE">
            <w:pPr>
              <w:spacing w:before="120" w:after="120"/>
              <w:jc w:val="center"/>
              <w:rPr>
                <w:rFonts w:asciiTheme="minorHAnsi" w:hAnsiTheme="minorHAnsi" w:cstheme="minorHAnsi"/>
                <w:b/>
                <w:bCs/>
                <w:sz w:val="20"/>
                <w:szCs w:val="20"/>
              </w:rPr>
            </w:pPr>
            <w:r w:rsidRPr="003C784E">
              <w:rPr>
                <w:rFonts w:asciiTheme="minorHAnsi" w:hAnsiTheme="minorHAnsi" w:cstheme="minorHAnsi"/>
                <w:b/>
                <w:bCs/>
                <w:sz w:val="20"/>
                <w:szCs w:val="20"/>
              </w:rPr>
              <w:t>12,87%</w:t>
            </w:r>
          </w:p>
        </w:tc>
      </w:tr>
      <w:tr w:rsidR="00BA0628" w:rsidRPr="003C784E" w:rsidTr="00B250AE">
        <w:trPr>
          <w:trHeight w:val="225"/>
          <w:jc w:val="center"/>
        </w:trPr>
        <w:tc>
          <w:tcPr>
            <w:tcW w:w="2287" w:type="dxa"/>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Ιόνια νησιά</w:t>
            </w:r>
          </w:p>
        </w:tc>
        <w:tc>
          <w:tcPr>
            <w:tcW w:w="1031"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13.300</w:t>
            </w:r>
          </w:p>
        </w:tc>
        <w:tc>
          <w:tcPr>
            <w:tcW w:w="1026"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14.900</w:t>
            </w:r>
          </w:p>
        </w:tc>
        <w:tc>
          <w:tcPr>
            <w:tcW w:w="1029" w:type="dxa"/>
            <w:noWrap/>
            <w:vAlign w:val="center"/>
            <w:hideMark/>
          </w:tcPr>
          <w:p w:rsidR="00BA0628" w:rsidRPr="003C784E" w:rsidRDefault="00BA0628" w:rsidP="00B250AE">
            <w:pPr>
              <w:spacing w:before="120" w:after="120"/>
              <w:jc w:val="center"/>
              <w:rPr>
                <w:rFonts w:asciiTheme="minorHAnsi" w:hAnsiTheme="minorHAnsi" w:cstheme="minorHAnsi"/>
                <w:b/>
                <w:bCs/>
                <w:sz w:val="20"/>
                <w:szCs w:val="20"/>
              </w:rPr>
            </w:pPr>
            <w:r w:rsidRPr="003C784E">
              <w:rPr>
                <w:rFonts w:asciiTheme="minorHAnsi" w:hAnsiTheme="minorHAnsi" w:cstheme="minorHAnsi"/>
                <w:b/>
                <w:bCs/>
                <w:sz w:val="20"/>
                <w:szCs w:val="20"/>
              </w:rPr>
              <w:t>12,03%</w:t>
            </w:r>
          </w:p>
        </w:tc>
      </w:tr>
      <w:tr w:rsidR="00BA0628" w:rsidRPr="003C784E" w:rsidTr="00B250AE">
        <w:trPr>
          <w:trHeight w:val="225"/>
          <w:jc w:val="center"/>
        </w:trPr>
        <w:tc>
          <w:tcPr>
            <w:tcW w:w="2287" w:type="dxa"/>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Νότιο Αιγαίο</w:t>
            </w:r>
          </w:p>
        </w:tc>
        <w:tc>
          <w:tcPr>
            <w:tcW w:w="1031"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15.700</w:t>
            </w:r>
          </w:p>
        </w:tc>
        <w:tc>
          <w:tcPr>
            <w:tcW w:w="1026"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17.500</w:t>
            </w:r>
          </w:p>
        </w:tc>
        <w:tc>
          <w:tcPr>
            <w:tcW w:w="1029" w:type="dxa"/>
            <w:noWrap/>
            <w:vAlign w:val="center"/>
            <w:hideMark/>
          </w:tcPr>
          <w:p w:rsidR="00BA0628" w:rsidRPr="003C784E" w:rsidRDefault="00BA0628" w:rsidP="00B250AE">
            <w:pPr>
              <w:spacing w:before="120" w:after="120"/>
              <w:jc w:val="center"/>
              <w:rPr>
                <w:rFonts w:asciiTheme="minorHAnsi" w:hAnsiTheme="minorHAnsi" w:cstheme="minorHAnsi"/>
                <w:b/>
                <w:bCs/>
                <w:sz w:val="20"/>
                <w:szCs w:val="20"/>
              </w:rPr>
            </w:pPr>
            <w:r w:rsidRPr="003C784E">
              <w:rPr>
                <w:rFonts w:asciiTheme="minorHAnsi" w:hAnsiTheme="minorHAnsi" w:cstheme="minorHAnsi"/>
                <w:b/>
                <w:bCs/>
                <w:sz w:val="20"/>
                <w:szCs w:val="20"/>
              </w:rPr>
              <w:t>11,46%</w:t>
            </w:r>
          </w:p>
        </w:tc>
      </w:tr>
      <w:tr w:rsidR="00BA0628" w:rsidRPr="003C784E" w:rsidTr="00B250AE">
        <w:trPr>
          <w:trHeight w:val="225"/>
          <w:jc w:val="center"/>
        </w:trPr>
        <w:tc>
          <w:tcPr>
            <w:tcW w:w="2287" w:type="dxa"/>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Στερεά Ελλάδα</w:t>
            </w:r>
          </w:p>
        </w:tc>
        <w:tc>
          <w:tcPr>
            <w:tcW w:w="1031"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14.100,00</w:t>
            </w:r>
          </w:p>
        </w:tc>
        <w:tc>
          <w:tcPr>
            <w:tcW w:w="1026" w:type="dxa"/>
            <w:noWrap/>
            <w:vAlign w:val="center"/>
            <w:hideMark/>
          </w:tcPr>
          <w:p w:rsidR="00BA0628" w:rsidRPr="003C784E" w:rsidRDefault="00BA0628" w:rsidP="00B250AE">
            <w:pPr>
              <w:spacing w:before="120" w:after="120"/>
              <w:jc w:val="center"/>
              <w:rPr>
                <w:rFonts w:asciiTheme="minorHAnsi" w:hAnsiTheme="minorHAnsi" w:cstheme="minorHAnsi"/>
                <w:sz w:val="20"/>
                <w:szCs w:val="20"/>
              </w:rPr>
            </w:pPr>
            <w:r w:rsidRPr="003C784E">
              <w:rPr>
                <w:rFonts w:asciiTheme="minorHAnsi" w:hAnsiTheme="minorHAnsi" w:cstheme="minorHAnsi"/>
                <w:sz w:val="20"/>
                <w:szCs w:val="20"/>
              </w:rPr>
              <w:t>14.300,00</w:t>
            </w:r>
          </w:p>
        </w:tc>
        <w:tc>
          <w:tcPr>
            <w:tcW w:w="1029" w:type="dxa"/>
            <w:noWrap/>
            <w:vAlign w:val="center"/>
            <w:hideMark/>
          </w:tcPr>
          <w:p w:rsidR="00BA0628" w:rsidRPr="003C784E" w:rsidRDefault="00BA0628" w:rsidP="00B250AE">
            <w:pPr>
              <w:spacing w:before="120" w:after="120"/>
              <w:jc w:val="center"/>
              <w:rPr>
                <w:rFonts w:asciiTheme="minorHAnsi" w:hAnsiTheme="minorHAnsi" w:cstheme="minorHAnsi"/>
                <w:b/>
                <w:bCs/>
                <w:sz w:val="20"/>
                <w:szCs w:val="20"/>
              </w:rPr>
            </w:pPr>
            <w:r w:rsidRPr="003C784E">
              <w:rPr>
                <w:rFonts w:asciiTheme="minorHAnsi" w:hAnsiTheme="minorHAnsi" w:cstheme="minorHAnsi"/>
                <w:b/>
                <w:bCs/>
                <w:sz w:val="20"/>
                <w:szCs w:val="20"/>
              </w:rPr>
              <w:t>1,42%</w:t>
            </w:r>
          </w:p>
        </w:tc>
      </w:tr>
    </w:tbl>
    <w:p w:rsidR="00BA0628" w:rsidRDefault="00BA0628" w:rsidP="00BA0628">
      <w:pPr>
        <w:spacing w:before="120" w:after="120"/>
        <w:jc w:val="center"/>
        <w:rPr>
          <w:rFonts w:asciiTheme="minorHAnsi" w:hAnsiTheme="minorHAnsi" w:cstheme="minorHAnsi"/>
          <w:i/>
        </w:rPr>
      </w:pPr>
      <w:r>
        <w:rPr>
          <w:rFonts w:asciiTheme="minorHAnsi" w:hAnsiTheme="minorHAnsi" w:cstheme="minorHAnsi"/>
        </w:rPr>
        <w:fldChar w:fldCharType="end"/>
      </w:r>
    </w:p>
    <w:p w:rsidR="00BA0628" w:rsidRDefault="00BA0628"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p>
    <w:p w:rsidR="001B2AC1" w:rsidRDefault="001B2AC1" w:rsidP="00BA0628">
      <w:pPr>
        <w:spacing w:before="120" w:after="120"/>
        <w:jc w:val="center"/>
        <w:rPr>
          <w:rFonts w:asciiTheme="minorHAnsi" w:hAnsiTheme="minorHAnsi" w:cstheme="minorHAnsi"/>
          <w:i/>
        </w:rPr>
      </w:pPr>
    </w:p>
    <w:p w:rsidR="00BA0628" w:rsidRDefault="00BA0628" w:rsidP="00BA0628">
      <w:pPr>
        <w:spacing w:before="120" w:after="120"/>
        <w:jc w:val="center"/>
        <w:rPr>
          <w:rFonts w:asciiTheme="minorHAnsi" w:hAnsiTheme="minorHAnsi" w:cstheme="minorHAnsi"/>
          <w:i/>
        </w:rPr>
      </w:pPr>
      <w:r>
        <w:rPr>
          <w:rFonts w:asciiTheme="minorHAnsi" w:hAnsiTheme="minorHAnsi" w:cstheme="minorHAnsi"/>
          <w:i/>
        </w:rPr>
        <w:t>Πίνακας 3: «κατά κεφαλήν» ΑΕΠ στις δεκατρείς περιφέρειες της χώρας ως ποσοστό επί τοις εκατό (%) του εθνικού μέσου όρου. Έτη 2000 και 2016.</w:t>
      </w:r>
    </w:p>
    <w:p w:rsidR="00BA0628" w:rsidRDefault="00BA0628" w:rsidP="00BA0628">
      <w:pPr>
        <w:spacing w:before="120" w:after="120"/>
        <w:jc w:val="center"/>
        <w:rPr>
          <w:rFonts w:asciiTheme="minorHAnsi" w:hAnsiTheme="minorHAnsi" w:cstheme="minorHAnsi"/>
          <w:sz w:val="20"/>
          <w:lang w:val="en-US"/>
        </w:rPr>
      </w:pPr>
      <w:r w:rsidRPr="00121E42">
        <w:rPr>
          <w:rFonts w:asciiTheme="minorHAnsi" w:hAnsiTheme="minorHAnsi" w:cstheme="minorHAnsi"/>
          <w:sz w:val="20"/>
        </w:rPr>
        <w:t xml:space="preserve">Πηγή: </w:t>
      </w:r>
      <w:r w:rsidRPr="00121E42">
        <w:rPr>
          <w:rFonts w:asciiTheme="minorHAnsi" w:hAnsiTheme="minorHAnsi" w:cstheme="minorHAnsi"/>
          <w:sz w:val="20"/>
          <w:lang w:val="en-US"/>
        </w:rPr>
        <w:t>Eurostat</w:t>
      </w:r>
    </w:p>
    <w:p w:rsidR="00BA0628" w:rsidRPr="00121E42" w:rsidRDefault="00BA0628" w:rsidP="00BA0628">
      <w:pPr>
        <w:spacing w:before="120" w:after="120"/>
        <w:jc w:val="center"/>
        <w:rPr>
          <w:rFonts w:asciiTheme="minorHAnsi" w:hAnsiTheme="minorHAnsi" w:cstheme="minorHAnsi"/>
          <w:sz w:val="20"/>
          <w:lang w:val="en-US"/>
        </w:rPr>
      </w:pPr>
    </w:p>
    <w:tbl>
      <w:tblPr>
        <w:tblStyle w:val="a7"/>
        <w:tblW w:w="0" w:type="auto"/>
        <w:tblInd w:w="1838" w:type="dxa"/>
        <w:tblLook w:val="04A0" w:firstRow="1" w:lastRow="0" w:firstColumn="1" w:lastColumn="0" w:noHBand="0" w:noVBand="1"/>
      </w:tblPr>
      <w:tblGrid>
        <w:gridCol w:w="2268"/>
        <w:gridCol w:w="992"/>
        <w:gridCol w:w="993"/>
        <w:gridCol w:w="1134"/>
      </w:tblGrid>
      <w:tr w:rsidR="00BA0628" w:rsidRPr="00121E42" w:rsidTr="00B250AE">
        <w:tc>
          <w:tcPr>
            <w:tcW w:w="2268" w:type="dxa"/>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ΠΕΡΙΦΕΡΕΙΑ</w:t>
            </w:r>
          </w:p>
        </w:tc>
        <w:tc>
          <w:tcPr>
            <w:tcW w:w="992" w:type="dxa"/>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2000</w:t>
            </w:r>
          </w:p>
        </w:tc>
        <w:tc>
          <w:tcPr>
            <w:tcW w:w="993" w:type="dxa"/>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2016</w:t>
            </w:r>
          </w:p>
        </w:tc>
        <w:tc>
          <w:tcPr>
            <w:tcW w:w="1134" w:type="dxa"/>
            <w:shd w:val="clear" w:color="auto" w:fill="C00000"/>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ΜΕΙΩΣΗ …</w:t>
            </w:r>
          </w:p>
        </w:tc>
      </w:tr>
      <w:tr w:rsidR="00BA0628" w:rsidRPr="00121E42" w:rsidTr="00B250AE">
        <w:tc>
          <w:tcPr>
            <w:tcW w:w="2268" w:type="dxa"/>
            <w:shd w:val="clear" w:color="auto" w:fill="FFD966" w:themeFill="accent4" w:themeFillTint="99"/>
            <w:vAlign w:val="center"/>
          </w:tcPr>
          <w:p w:rsidR="00BA0628" w:rsidRPr="00121E42" w:rsidRDefault="00BA0628" w:rsidP="00B250AE">
            <w:pPr>
              <w:spacing w:before="120" w:after="120"/>
              <w:jc w:val="center"/>
              <w:rPr>
                <w:rFonts w:asciiTheme="minorHAnsi" w:hAnsiTheme="minorHAnsi" w:cstheme="minorHAnsi"/>
                <w:sz w:val="20"/>
                <w:szCs w:val="20"/>
              </w:rPr>
            </w:pPr>
            <w:r w:rsidRPr="00121E42">
              <w:rPr>
                <w:rFonts w:asciiTheme="minorHAnsi" w:hAnsiTheme="minorHAnsi" w:cstheme="minorHAnsi"/>
                <w:sz w:val="20"/>
                <w:szCs w:val="20"/>
              </w:rPr>
              <w:t>Στερεά Ελλάδα</w:t>
            </w:r>
          </w:p>
        </w:tc>
        <w:tc>
          <w:tcPr>
            <w:tcW w:w="992" w:type="dxa"/>
            <w:shd w:val="clear" w:color="auto" w:fill="FFD966" w:themeFill="accent4" w:themeFillTint="99"/>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106,82%</w:t>
            </w:r>
          </w:p>
        </w:tc>
        <w:tc>
          <w:tcPr>
            <w:tcW w:w="993" w:type="dxa"/>
            <w:shd w:val="clear" w:color="auto" w:fill="FFD966" w:themeFill="accent4" w:themeFillTint="99"/>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88,27%</w:t>
            </w:r>
          </w:p>
        </w:tc>
        <w:tc>
          <w:tcPr>
            <w:tcW w:w="1134" w:type="dxa"/>
            <w:shd w:val="clear" w:color="auto" w:fill="FFD966" w:themeFill="accent4" w:themeFillTint="99"/>
            <w:vAlign w:val="center"/>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-17,36%</w:t>
            </w:r>
          </w:p>
        </w:tc>
      </w:tr>
      <w:tr w:rsidR="00BA0628" w:rsidRPr="00121E42" w:rsidTr="00B250AE">
        <w:tc>
          <w:tcPr>
            <w:tcW w:w="2268" w:type="dxa"/>
            <w:shd w:val="clear" w:color="auto" w:fill="FFD966" w:themeFill="accent4" w:themeFillTint="99"/>
            <w:vAlign w:val="center"/>
          </w:tcPr>
          <w:p w:rsidR="00BA0628" w:rsidRPr="00121E42" w:rsidRDefault="00BA0628" w:rsidP="00B250AE">
            <w:pPr>
              <w:spacing w:before="120" w:after="120"/>
              <w:jc w:val="center"/>
              <w:rPr>
                <w:rFonts w:asciiTheme="minorHAnsi" w:hAnsiTheme="minorHAnsi" w:cstheme="minorHAnsi"/>
                <w:sz w:val="20"/>
                <w:szCs w:val="20"/>
              </w:rPr>
            </w:pPr>
            <w:r w:rsidRPr="00121E42">
              <w:rPr>
                <w:rFonts w:asciiTheme="minorHAnsi" w:hAnsiTheme="minorHAnsi" w:cstheme="minorHAnsi"/>
                <w:sz w:val="20"/>
                <w:szCs w:val="20"/>
              </w:rPr>
              <w:t>Ανατολική Μακεδονία – Θράκη</w:t>
            </w:r>
          </w:p>
        </w:tc>
        <w:tc>
          <w:tcPr>
            <w:tcW w:w="992" w:type="dxa"/>
            <w:shd w:val="clear" w:color="auto" w:fill="FFD966" w:themeFill="accent4" w:themeFillTint="99"/>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77,27%</w:t>
            </w:r>
          </w:p>
        </w:tc>
        <w:tc>
          <w:tcPr>
            <w:tcW w:w="993" w:type="dxa"/>
            <w:shd w:val="clear" w:color="auto" w:fill="FFD966" w:themeFill="accent4" w:themeFillTint="99"/>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68,52%</w:t>
            </w:r>
          </w:p>
        </w:tc>
        <w:tc>
          <w:tcPr>
            <w:tcW w:w="1134" w:type="dxa"/>
            <w:shd w:val="clear" w:color="auto" w:fill="FFD966" w:themeFill="accent4" w:themeFillTint="99"/>
            <w:vAlign w:val="center"/>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-11,33%</w:t>
            </w:r>
          </w:p>
        </w:tc>
      </w:tr>
      <w:tr w:rsidR="00BA0628" w:rsidRPr="00121E42" w:rsidTr="00B250AE">
        <w:tc>
          <w:tcPr>
            <w:tcW w:w="2268" w:type="dxa"/>
            <w:vAlign w:val="center"/>
          </w:tcPr>
          <w:p w:rsidR="00BA0628" w:rsidRPr="00121E42" w:rsidRDefault="00BA0628" w:rsidP="00B250AE">
            <w:pPr>
              <w:spacing w:before="120" w:after="120"/>
              <w:jc w:val="center"/>
              <w:rPr>
                <w:rFonts w:asciiTheme="minorHAnsi" w:hAnsiTheme="minorHAnsi" w:cstheme="minorHAnsi"/>
                <w:sz w:val="20"/>
                <w:szCs w:val="20"/>
              </w:rPr>
            </w:pPr>
            <w:r w:rsidRPr="00121E42">
              <w:rPr>
                <w:rFonts w:asciiTheme="minorHAnsi" w:hAnsiTheme="minorHAnsi" w:cstheme="minorHAnsi"/>
                <w:sz w:val="20"/>
                <w:szCs w:val="20"/>
              </w:rPr>
              <w:t>Νότιο Αιγαίο</w:t>
            </w:r>
          </w:p>
        </w:tc>
        <w:tc>
          <w:tcPr>
            <w:tcW w:w="992"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118,94%</w:t>
            </w:r>
          </w:p>
        </w:tc>
        <w:tc>
          <w:tcPr>
            <w:tcW w:w="993"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108,02%</w:t>
            </w:r>
          </w:p>
        </w:tc>
        <w:tc>
          <w:tcPr>
            <w:tcW w:w="1134" w:type="dxa"/>
            <w:vAlign w:val="center"/>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-9,18%</w:t>
            </w:r>
          </w:p>
        </w:tc>
      </w:tr>
      <w:tr w:rsidR="00BA0628" w:rsidRPr="00121E42" w:rsidTr="00B250AE">
        <w:tc>
          <w:tcPr>
            <w:tcW w:w="2268" w:type="dxa"/>
            <w:vAlign w:val="center"/>
          </w:tcPr>
          <w:p w:rsidR="00BA0628" w:rsidRPr="00121E42" w:rsidRDefault="00BA0628" w:rsidP="00B250AE">
            <w:pPr>
              <w:spacing w:before="120" w:after="120"/>
              <w:jc w:val="center"/>
              <w:rPr>
                <w:rFonts w:asciiTheme="minorHAnsi" w:hAnsiTheme="minorHAnsi" w:cstheme="minorHAnsi"/>
                <w:sz w:val="20"/>
                <w:szCs w:val="20"/>
              </w:rPr>
            </w:pPr>
            <w:r w:rsidRPr="00121E42">
              <w:rPr>
                <w:rFonts w:asciiTheme="minorHAnsi" w:hAnsiTheme="minorHAnsi" w:cstheme="minorHAnsi"/>
                <w:sz w:val="20"/>
                <w:szCs w:val="20"/>
              </w:rPr>
              <w:t>Ιόνια Νησιά</w:t>
            </w:r>
          </w:p>
        </w:tc>
        <w:tc>
          <w:tcPr>
            <w:tcW w:w="992"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100,76%</w:t>
            </w:r>
          </w:p>
        </w:tc>
        <w:tc>
          <w:tcPr>
            <w:tcW w:w="993"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91,98%</w:t>
            </w:r>
          </w:p>
        </w:tc>
        <w:tc>
          <w:tcPr>
            <w:tcW w:w="1134" w:type="dxa"/>
            <w:vAlign w:val="center"/>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-8,72%</w:t>
            </w:r>
          </w:p>
        </w:tc>
      </w:tr>
      <w:tr w:rsidR="00BA0628" w:rsidRPr="00121E42" w:rsidTr="00B250AE">
        <w:tc>
          <w:tcPr>
            <w:tcW w:w="2268" w:type="dxa"/>
            <w:vAlign w:val="center"/>
          </w:tcPr>
          <w:p w:rsidR="00BA0628" w:rsidRPr="00121E42" w:rsidRDefault="00BA0628" w:rsidP="00B250AE">
            <w:pPr>
              <w:spacing w:before="120" w:after="120"/>
              <w:jc w:val="center"/>
              <w:rPr>
                <w:rFonts w:asciiTheme="minorHAnsi" w:hAnsiTheme="minorHAnsi" w:cstheme="minorHAnsi"/>
                <w:sz w:val="20"/>
                <w:szCs w:val="20"/>
              </w:rPr>
            </w:pPr>
            <w:r w:rsidRPr="00121E42">
              <w:rPr>
                <w:rFonts w:asciiTheme="minorHAnsi" w:hAnsiTheme="minorHAnsi" w:cstheme="minorHAnsi"/>
                <w:sz w:val="20"/>
                <w:szCs w:val="20"/>
              </w:rPr>
              <w:t>Ήπειρος</w:t>
            </w:r>
          </w:p>
        </w:tc>
        <w:tc>
          <w:tcPr>
            <w:tcW w:w="992"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76,52%</w:t>
            </w:r>
          </w:p>
        </w:tc>
        <w:tc>
          <w:tcPr>
            <w:tcW w:w="993"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70,37%</w:t>
            </w:r>
          </w:p>
        </w:tc>
        <w:tc>
          <w:tcPr>
            <w:tcW w:w="1134" w:type="dxa"/>
            <w:vAlign w:val="center"/>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-8,03%</w:t>
            </w:r>
          </w:p>
        </w:tc>
      </w:tr>
      <w:tr w:rsidR="00BA0628" w:rsidRPr="00121E42" w:rsidTr="00B250AE">
        <w:tc>
          <w:tcPr>
            <w:tcW w:w="2268" w:type="dxa"/>
            <w:vAlign w:val="center"/>
          </w:tcPr>
          <w:p w:rsidR="00BA0628" w:rsidRPr="00121E42" w:rsidRDefault="00BA0628" w:rsidP="00B250AE">
            <w:pPr>
              <w:spacing w:before="120" w:after="120"/>
              <w:jc w:val="center"/>
              <w:rPr>
                <w:rFonts w:asciiTheme="minorHAnsi" w:hAnsiTheme="minorHAnsi" w:cstheme="minorHAnsi"/>
                <w:sz w:val="20"/>
                <w:szCs w:val="20"/>
              </w:rPr>
            </w:pPr>
            <w:r w:rsidRPr="00121E42">
              <w:rPr>
                <w:rFonts w:asciiTheme="minorHAnsi" w:hAnsiTheme="minorHAnsi" w:cstheme="minorHAnsi"/>
                <w:sz w:val="20"/>
                <w:szCs w:val="20"/>
              </w:rPr>
              <w:t>Κρήτη</w:t>
            </w:r>
          </w:p>
        </w:tc>
        <w:tc>
          <w:tcPr>
            <w:tcW w:w="992"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91,67%</w:t>
            </w:r>
          </w:p>
        </w:tc>
        <w:tc>
          <w:tcPr>
            <w:tcW w:w="993"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84,57%</w:t>
            </w:r>
          </w:p>
        </w:tc>
        <w:tc>
          <w:tcPr>
            <w:tcW w:w="1134" w:type="dxa"/>
            <w:vAlign w:val="center"/>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-7,74%</w:t>
            </w:r>
          </w:p>
        </w:tc>
      </w:tr>
      <w:tr w:rsidR="00BA0628" w:rsidRPr="00121E42" w:rsidTr="00B250AE">
        <w:tc>
          <w:tcPr>
            <w:tcW w:w="2268" w:type="dxa"/>
            <w:vAlign w:val="center"/>
          </w:tcPr>
          <w:p w:rsidR="00BA0628" w:rsidRPr="00121E42" w:rsidRDefault="00BA0628" w:rsidP="00B250AE">
            <w:pPr>
              <w:spacing w:before="120" w:after="120"/>
              <w:jc w:val="center"/>
              <w:rPr>
                <w:rFonts w:asciiTheme="minorHAnsi" w:hAnsiTheme="minorHAnsi" w:cstheme="minorHAnsi"/>
                <w:sz w:val="20"/>
                <w:szCs w:val="20"/>
              </w:rPr>
            </w:pPr>
            <w:r w:rsidRPr="00121E42">
              <w:rPr>
                <w:rFonts w:asciiTheme="minorHAnsi" w:hAnsiTheme="minorHAnsi" w:cstheme="minorHAnsi"/>
                <w:sz w:val="20"/>
                <w:szCs w:val="20"/>
              </w:rPr>
              <w:t>Κεντρική Μακεδονία</w:t>
            </w:r>
          </w:p>
        </w:tc>
        <w:tc>
          <w:tcPr>
            <w:tcW w:w="992"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82,58%</w:t>
            </w:r>
          </w:p>
        </w:tc>
        <w:tc>
          <w:tcPr>
            <w:tcW w:w="993"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78,40%</w:t>
            </w:r>
          </w:p>
        </w:tc>
        <w:tc>
          <w:tcPr>
            <w:tcW w:w="1134" w:type="dxa"/>
            <w:vAlign w:val="center"/>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-5,06%</w:t>
            </w:r>
          </w:p>
        </w:tc>
      </w:tr>
      <w:tr w:rsidR="00BA0628" w:rsidRPr="00121E42" w:rsidTr="00B250AE">
        <w:tc>
          <w:tcPr>
            <w:tcW w:w="2268" w:type="dxa"/>
            <w:vAlign w:val="center"/>
          </w:tcPr>
          <w:p w:rsidR="00BA0628" w:rsidRPr="00121E42" w:rsidRDefault="00BA0628" w:rsidP="00B250AE">
            <w:pPr>
              <w:spacing w:before="120" w:after="120"/>
              <w:jc w:val="center"/>
              <w:rPr>
                <w:rFonts w:asciiTheme="minorHAnsi" w:hAnsiTheme="minorHAnsi" w:cstheme="minorHAnsi"/>
                <w:sz w:val="20"/>
                <w:szCs w:val="20"/>
              </w:rPr>
            </w:pPr>
            <w:r w:rsidRPr="00121E42">
              <w:rPr>
                <w:rFonts w:asciiTheme="minorHAnsi" w:hAnsiTheme="minorHAnsi" w:cstheme="minorHAnsi"/>
                <w:sz w:val="20"/>
                <w:szCs w:val="20"/>
              </w:rPr>
              <w:t>Δυτική Ελλάδα</w:t>
            </w:r>
          </w:p>
        </w:tc>
        <w:tc>
          <w:tcPr>
            <w:tcW w:w="992"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75,00%</w:t>
            </w:r>
          </w:p>
        </w:tc>
        <w:tc>
          <w:tcPr>
            <w:tcW w:w="993"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72,84%</w:t>
            </w:r>
          </w:p>
        </w:tc>
        <w:tc>
          <w:tcPr>
            <w:tcW w:w="1134" w:type="dxa"/>
            <w:vAlign w:val="center"/>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-2,88%</w:t>
            </w:r>
          </w:p>
        </w:tc>
      </w:tr>
      <w:tr w:rsidR="00BA0628" w:rsidRPr="00121E42" w:rsidTr="00B250AE">
        <w:tc>
          <w:tcPr>
            <w:tcW w:w="2268" w:type="dxa"/>
            <w:vAlign w:val="center"/>
          </w:tcPr>
          <w:p w:rsidR="00BA0628" w:rsidRPr="00121E42" w:rsidRDefault="00BA0628" w:rsidP="00B250AE">
            <w:pPr>
              <w:spacing w:before="120" w:after="120"/>
              <w:jc w:val="center"/>
              <w:rPr>
                <w:rFonts w:asciiTheme="minorHAnsi" w:hAnsiTheme="minorHAnsi" w:cstheme="minorHAnsi"/>
                <w:sz w:val="20"/>
                <w:szCs w:val="20"/>
              </w:rPr>
            </w:pPr>
            <w:r w:rsidRPr="00121E42">
              <w:rPr>
                <w:rFonts w:asciiTheme="minorHAnsi" w:hAnsiTheme="minorHAnsi" w:cstheme="minorHAnsi"/>
                <w:sz w:val="20"/>
                <w:szCs w:val="20"/>
              </w:rPr>
              <w:t>Πελοπόννησος</w:t>
            </w:r>
          </w:p>
        </w:tc>
        <w:tc>
          <w:tcPr>
            <w:tcW w:w="992"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83,33%</w:t>
            </w:r>
          </w:p>
        </w:tc>
        <w:tc>
          <w:tcPr>
            <w:tcW w:w="993"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81,48%</w:t>
            </w:r>
          </w:p>
        </w:tc>
        <w:tc>
          <w:tcPr>
            <w:tcW w:w="1134" w:type="dxa"/>
            <w:vAlign w:val="center"/>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-2,22%</w:t>
            </w:r>
          </w:p>
        </w:tc>
      </w:tr>
      <w:tr w:rsidR="00BA0628" w:rsidRPr="00121E42" w:rsidTr="00B250AE">
        <w:tc>
          <w:tcPr>
            <w:tcW w:w="2268" w:type="dxa"/>
            <w:vAlign w:val="center"/>
          </w:tcPr>
          <w:p w:rsidR="00BA0628" w:rsidRPr="00121E42" w:rsidRDefault="00BA0628" w:rsidP="00B250AE">
            <w:pPr>
              <w:spacing w:before="120" w:after="120"/>
              <w:jc w:val="center"/>
              <w:rPr>
                <w:rFonts w:asciiTheme="minorHAnsi" w:hAnsiTheme="minorHAnsi" w:cstheme="minorHAnsi"/>
                <w:sz w:val="20"/>
                <w:szCs w:val="20"/>
              </w:rPr>
            </w:pPr>
            <w:r w:rsidRPr="00121E42">
              <w:rPr>
                <w:rFonts w:asciiTheme="minorHAnsi" w:hAnsiTheme="minorHAnsi" w:cstheme="minorHAnsi"/>
                <w:sz w:val="20"/>
                <w:szCs w:val="20"/>
              </w:rPr>
              <w:t>Θεσσαλία</w:t>
            </w:r>
          </w:p>
        </w:tc>
        <w:tc>
          <w:tcPr>
            <w:tcW w:w="992"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77,27%</w:t>
            </w:r>
          </w:p>
        </w:tc>
        <w:tc>
          <w:tcPr>
            <w:tcW w:w="993"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76,54%</w:t>
            </w:r>
          </w:p>
        </w:tc>
        <w:tc>
          <w:tcPr>
            <w:tcW w:w="1134" w:type="dxa"/>
            <w:vAlign w:val="center"/>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-0,94%</w:t>
            </w:r>
          </w:p>
        </w:tc>
      </w:tr>
      <w:tr w:rsidR="00BA0628" w:rsidRPr="00121E42" w:rsidTr="00B250AE">
        <w:tc>
          <w:tcPr>
            <w:tcW w:w="2268" w:type="dxa"/>
            <w:vAlign w:val="center"/>
          </w:tcPr>
          <w:p w:rsidR="00BA0628" w:rsidRPr="00121E42" w:rsidRDefault="00BA0628" w:rsidP="00B250AE">
            <w:pPr>
              <w:spacing w:before="120" w:after="120"/>
              <w:jc w:val="center"/>
              <w:rPr>
                <w:rFonts w:asciiTheme="minorHAnsi" w:hAnsiTheme="minorHAnsi" w:cstheme="minorHAnsi"/>
                <w:sz w:val="20"/>
                <w:szCs w:val="20"/>
              </w:rPr>
            </w:pPr>
            <w:r w:rsidRPr="00121E42">
              <w:rPr>
                <w:rFonts w:asciiTheme="minorHAnsi" w:hAnsiTheme="minorHAnsi" w:cstheme="minorHAnsi"/>
                <w:sz w:val="20"/>
                <w:szCs w:val="20"/>
              </w:rPr>
              <w:t>Βόρειο Αιγαίο</w:t>
            </w:r>
          </w:p>
        </w:tc>
        <w:tc>
          <w:tcPr>
            <w:tcW w:w="992"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74,24%</w:t>
            </w:r>
          </w:p>
        </w:tc>
        <w:tc>
          <w:tcPr>
            <w:tcW w:w="993"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74,07%</w:t>
            </w:r>
          </w:p>
        </w:tc>
        <w:tc>
          <w:tcPr>
            <w:tcW w:w="1134" w:type="dxa"/>
            <w:vAlign w:val="center"/>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-0,23%</w:t>
            </w:r>
          </w:p>
        </w:tc>
      </w:tr>
      <w:tr w:rsidR="00BA0628" w:rsidRPr="00121E42" w:rsidTr="00B250AE">
        <w:tc>
          <w:tcPr>
            <w:tcW w:w="2268" w:type="dxa"/>
            <w:vAlign w:val="center"/>
          </w:tcPr>
          <w:p w:rsidR="00BA0628" w:rsidRPr="00121E42" w:rsidRDefault="00BA0628" w:rsidP="00B250AE">
            <w:pPr>
              <w:spacing w:before="120" w:after="120"/>
              <w:jc w:val="center"/>
              <w:rPr>
                <w:rFonts w:asciiTheme="minorHAnsi" w:hAnsiTheme="minorHAnsi" w:cstheme="minorHAnsi"/>
                <w:sz w:val="20"/>
                <w:szCs w:val="20"/>
              </w:rPr>
            </w:pPr>
            <w:r w:rsidRPr="00121E42">
              <w:rPr>
                <w:rFonts w:asciiTheme="minorHAnsi" w:hAnsiTheme="minorHAnsi" w:cstheme="minorHAnsi"/>
                <w:sz w:val="20"/>
                <w:szCs w:val="20"/>
              </w:rPr>
              <w:t xml:space="preserve">Δυτική Μακεδονία </w:t>
            </w:r>
          </w:p>
        </w:tc>
        <w:tc>
          <w:tcPr>
            <w:tcW w:w="992"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87,12%</w:t>
            </w:r>
          </w:p>
        </w:tc>
        <w:tc>
          <w:tcPr>
            <w:tcW w:w="993" w:type="dxa"/>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87,04%</w:t>
            </w:r>
          </w:p>
        </w:tc>
        <w:tc>
          <w:tcPr>
            <w:tcW w:w="1134" w:type="dxa"/>
            <w:vAlign w:val="center"/>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-0,10%</w:t>
            </w:r>
          </w:p>
        </w:tc>
      </w:tr>
      <w:tr w:rsidR="00BA0628" w:rsidRPr="00121E42" w:rsidTr="00B250AE">
        <w:tc>
          <w:tcPr>
            <w:tcW w:w="2268" w:type="dxa"/>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ΠΕΡΙΦΕΡΕΙΑ</w:t>
            </w:r>
          </w:p>
        </w:tc>
        <w:tc>
          <w:tcPr>
            <w:tcW w:w="992" w:type="dxa"/>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2000</w:t>
            </w:r>
          </w:p>
        </w:tc>
        <w:tc>
          <w:tcPr>
            <w:tcW w:w="993" w:type="dxa"/>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2016</w:t>
            </w:r>
          </w:p>
        </w:tc>
        <w:tc>
          <w:tcPr>
            <w:tcW w:w="1134" w:type="dxa"/>
            <w:shd w:val="clear" w:color="auto" w:fill="92D050"/>
          </w:tcPr>
          <w:p w:rsidR="00BA0628" w:rsidRPr="00121E42" w:rsidRDefault="00BA0628" w:rsidP="00B250AE">
            <w:pPr>
              <w:spacing w:before="120" w:after="120"/>
              <w:jc w:val="center"/>
              <w:rPr>
                <w:rFonts w:asciiTheme="minorHAnsi" w:hAnsiTheme="minorHAnsi" w:cstheme="minorHAnsi"/>
                <w:b/>
                <w:sz w:val="20"/>
                <w:szCs w:val="20"/>
              </w:rPr>
            </w:pPr>
            <w:r>
              <w:rPr>
                <w:rFonts w:asciiTheme="minorHAnsi" w:hAnsiTheme="minorHAnsi" w:cstheme="minorHAnsi"/>
                <w:b/>
                <w:sz w:val="20"/>
                <w:szCs w:val="20"/>
              </w:rPr>
              <w:t>ΑΥΞΗΣΗ</w:t>
            </w:r>
            <w:r w:rsidRPr="00121E42">
              <w:rPr>
                <w:rFonts w:asciiTheme="minorHAnsi" w:hAnsiTheme="minorHAnsi" w:cstheme="minorHAnsi"/>
                <w:b/>
                <w:sz w:val="20"/>
                <w:szCs w:val="20"/>
              </w:rPr>
              <w:t xml:space="preserve"> …</w:t>
            </w:r>
          </w:p>
        </w:tc>
      </w:tr>
      <w:tr w:rsidR="00BA0628" w:rsidRPr="00121E42" w:rsidTr="00B250AE">
        <w:tc>
          <w:tcPr>
            <w:tcW w:w="2268" w:type="dxa"/>
            <w:shd w:val="clear" w:color="auto" w:fill="D9E2F3" w:themeFill="accent5" w:themeFillTint="33"/>
            <w:vAlign w:val="center"/>
          </w:tcPr>
          <w:p w:rsidR="00BA0628" w:rsidRPr="00121E42" w:rsidRDefault="00BA0628" w:rsidP="00B250AE">
            <w:pPr>
              <w:spacing w:before="120" w:after="120"/>
              <w:jc w:val="center"/>
              <w:rPr>
                <w:rFonts w:asciiTheme="minorHAnsi" w:hAnsiTheme="minorHAnsi" w:cstheme="minorHAnsi"/>
                <w:sz w:val="20"/>
                <w:szCs w:val="20"/>
              </w:rPr>
            </w:pPr>
            <w:r w:rsidRPr="00121E42">
              <w:rPr>
                <w:rFonts w:asciiTheme="minorHAnsi" w:hAnsiTheme="minorHAnsi" w:cstheme="minorHAnsi"/>
                <w:sz w:val="20"/>
                <w:szCs w:val="20"/>
              </w:rPr>
              <w:t xml:space="preserve">Αττική </w:t>
            </w:r>
          </w:p>
        </w:tc>
        <w:tc>
          <w:tcPr>
            <w:tcW w:w="992" w:type="dxa"/>
            <w:shd w:val="clear" w:color="auto" w:fill="D9E2F3" w:themeFill="accent5" w:themeFillTint="33"/>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126,52%</w:t>
            </w:r>
          </w:p>
        </w:tc>
        <w:tc>
          <w:tcPr>
            <w:tcW w:w="993" w:type="dxa"/>
            <w:shd w:val="clear" w:color="auto" w:fill="D9E2F3" w:themeFill="accent5" w:themeFillTint="33"/>
            <w:vAlign w:val="center"/>
          </w:tcPr>
          <w:p w:rsidR="00BA0628" w:rsidRPr="00121E42" w:rsidRDefault="00BA0628" w:rsidP="00B250AE">
            <w:pPr>
              <w:spacing w:before="120" w:after="120"/>
              <w:jc w:val="center"/>
              <w:rPr>
                <w:rFonts w:asciiTheme="minorHAnsi" w:hAnsiTheme="minorHAnsi" w:cstheme="minorHAnsi"/>
                <w:sz w:val="20"/>
                <w:szCs w:val="20"/>
              </w:rPr>
            </w:pPr>
            <w:r>
              <w:rPr>
                <w:rFonts w:asciiTheme="minorHAnsi" w:hAnsiTheme="minorHAnsi" w:cstheme="minorHAnsi"/>
                <w:sz w:val="20"/>
                <w:szCs w:val="20"/>
              </w:rPr>
              <w:t>136,42%</w:t>
            </w:r>
          </w:p>
        </w:tc>
        <w:tc>
          <w:tcPr>
            <w:tcW w:w="1134" w:type="dxa"/>
            <w:shd w:val="clear" w:color="auto" w:fill="D9E2F3" w:themeFill="accent5" w:themeFillTint="33"/>
            <w:vAlign w:val="center"/>
          </w:tcPr>
          <w:p w:rsidR="00BA0628" w:rsidRPr="00121E42" w:rsidRDefault="00BA0628" w:rsidP="00B250AE">
            <w:pPr>
              <w:spacing w:before="120" w:after="120"/>
              <w:jc w:val="center"/>
              <w:rPr>
                <w:rFonts w:asciiTheme="minorHAnsi" w:hAnsiTheme="minorHAnsi" w:cstheme="minorHAnsi"/>
                <w:b/>
                <w:sz w:val="20"/>
                <w:szCs w:val="20"/>
              </w:rPr>
            </w:pPr>
            <w:r w:rsidRPr="00121E42">
              <w:rPr>
                <w:rFonts w:asciiTheme="minorHAnsi" w:hAnsiTheme="minorHAnsi" w:cstheme="minorHAnsi"/>
                <w:b/>
                <w:sz w:val="20"/>
                <w:szCs w:val="20"/>
              </w:rPr>
              <w:t>+7,83%</w:t>
            </w:r>
          </w:p>
        </w:tc>
      </w:tr>
    </w:tbl>
    <w:p w:rsidR="00BA0628" w:rsidRDefault="00BA0628" w:rsidP="00BA0628">
      <w:pPr>
        <w:spacing w:before="120" w:after="120"/>
        <w:jc w:val="both"/>
        <w:rPr>
          <w:rFonts w:ascii="Calibri" w:hAnsi="Calibri"/>
        </w:rPr>
      </w:pPr>
    </w:p>
    <w:p w:rsidR="00BA0628" w:rsidRDefault="00BA0628" w:rsidP="00BA0628">
      <w:pPr>
        <w:spacing w:before="120" w:after="120"/>
        <w:jc w:val="both"/>
        <w:rPr>
          <w:rFonts w:asciiTheme="minorHAnsi" w:hAnsiTheme="minorHAnsi" w:cstheme="minorHAnsi"/>
        </w:rPr>
      </w:pPr>
    </w:p>
    <w:p w:rsidR="00BA0628" w:rsidRDefault="00BA0628" w:rsidP="00BA0628">
      <w:pPr>
        <w:spacing w:before="120" w:after="120"/>
        <w:jc w:val="both"/>
        <w:rPr>
          <w:rFonts w:asciiTheme="minorHAnsi" w:hAnsiTheme="minorHAnsi" w:cstheme="minorHAnsi"/>
        </w:rPr>
      </w:pPr>
    </w:p>
    <w:p w:rsidR="00BA0628" w:rsidRDefault="00BA0628" w:rsidP="00BA0628">
      <w:pPr>
        <w:spacing w:before="120" w:after="120"/>
        <w:jc w:val="both"/>
        <w:rPr>
          <w:rFonts w:asciiTheme="minorHAnsi" w:hAnsiTheme="minorHAnsi" w:cstheme="minorHAnsi"/>
        </w:rPr>
      </w:pPr>
    </w:p>
    <w:p w:rsidR="00BA0628" w:rsidRDefault="00BA0628" w:rsidP="00BA0628">
      <w:pPr>
        <w:spacing w:before="120" w:after="120"/>
        <w:jc w:val="both"/>
        <w:rPr>
          <w:rFonts w:asciiTheme="minorHAnsi" w:hAnsiTheme="minorHAnsi" w:cstheme="minorHAnsi"/>
        </w:rPr>
      </w:pPr>
    </w:p>
    <w:p w:rsidR="00BA0628" w:rsidRDefault="00BA0628" w:rsidP="00BA0628">
      <w:pPr>
        <w:spacing w:before="120" w:after="120"/>
        <w:jc w:val="both"/>
        <w:rPr>
          <w:rFonts w:asciiTheme="minorHAnsi" w:hAnsiTheme="minorHAnsi" w:cstheme="minorHAnsi"/>
        </w:rPr>
      </w:pPr>
    </w:p>
    <w:p w:rsidR="00BA0628" w:rsidRDefault="00BA0628" w:rsidP="00BA0628">
      <w:pPr>
        <w:spacing w:before="120" w:after="120"/>
        <w:jc w:val="both"/>
        <w:rPr>
          <w:rFonts w:asciiTheme="minorHAnsi" w:hAnsiTheme="minorHAnsi" w:cstheme="minorHAnsi"/>
        </w:rPr>
      </w:pPr>
    </w:p>
    <w:p w:rsidR="00BA0628" w:rsidRDefault="00BA0628" w:rsidP="00BA0628">
      <w:pPr>
        <w:spacing w:before="120" w:after="120"/>
        <w:jc w:val="both"/>
        <w:rPr>
          <w:rFonts w:asciiTheme="minorHAnsi" w:hAnsiTheme="minorHAnsi" w:cstheme="minorHAnsi"/>
        </w:rPr>
      </w:pPr>
    </w:p>
    <w:p w:rsidR="00BA0628" w:rsidRDefault="00BA0628" w:rsidP="00BA0628">
      <w:pPr>
        <w:spacing w:before="120" w:after="120"/>
        <w:jc w:val="both"/>
        <w:rPr>
          <w:rFonts w:asciiTheme="minorHAnsi" w:hAnsiTheme="minorHAnsi" w:cstheme="minorHAnsi"/>
        </w:rPr>
      </w:pPr>
    </w:p>
    <w:p w:rsidR="00BA0628" w:rsidRDefault="00BA0628" w:rsidP="00BA0628">
      <w:pPr>
        <w:spacing w:before="120" w:after="120"/>
        <w:jc w:val="both"/>
        <w:rPr>
          <w:rFonts w:asciiTheme="minorHAnsi" w:hAnsiTheme="minorHAnsi" w:cstheme="minorHAnsi"/>
        </w:rPr>
      </w:pPr>
    </w:p>
    <w:p w:rsidR="001B2AC1" w:rsidRDefault="001B2AC1" w:rsidP="00BA0628">
      <w:pPr>
        <w:spacing w:before="120" w:after="120"/>
        <w:jc w:val="both"/>
        <w:rPr>
          <w:rFonts w:asciiTheme="minorHAnsi" w:hAnsiTheme="minorHAnsi" w:cstheme="minorHAnsi"/>
        </w:rPr>
      </w:pPr>
    </w:p>
    <w:p w:rsidR="00BA0628" w:rsidRDefault="00BA0628" w:rsidP="00BA0628">
      <w:pPr>
        <w:spacing w:before="120" w:after="120"/>
        <w:jc w:val="center"/>
        <w:rPr>
          <w:rFonts w:ascii="Calibri" w:hAnsi="Calibri"/>
          <w:i/>
        </w:rPr>
      </w:pPr>
    </w:p>
    <w:p w:rsidR="00BA0628" w:rsidRDefault="00BA0628" w:rsidP="00BA0628">
      <w:pPr>
        <w:spacing w:before="120" w:after="120"/>
        <w:jc w:val="center"/>
        <w:rPr>
          <w:rFonts w:ascii="Calibri" w:hAnsi="Calibri"/>
          <w:i/>
        </w:rPr>
      </w:pPr>
      <w:r>
        <w:rPr>
          <w:rFonts w:ascii="Calibri" w:hAnsi="Calibri"/>
          <w:i/>
        </w:rPr>
        <w:t>Γράφημα 2: Συνεισφορά κάθε περιφέρειας στην απασχόληση. Έτη 2000 και 2016.</w:t>
      </w:r>
    </w:p>
    <w:p w:rsidR="00BA0628" w:rsidRPr="00121E42" w:rsidRDefault="00BA0628" w:rsidP="00BA0628">
      <w:pPr>
        <w:spacing w:before="120" w:after="120"/>
        <w:jc w:val="center"/>
        <w:rPr>
          <w:rFonts w:ascii="Calibri" w:hAnsi="Calibri"/>
          <w:sz w:val="20"/>
        </w:rPr>
      </w:pPr>
      <w:r>
        <w:rPr>
          <w:rFonts w:ascii="Calibri" w:hAnsi="Calibri"/>
          <w:sz w:val="20"/>
        </w:rPr>
        <w:t>Π</w:t>
      </w:r>
      <w:r w:rsidRPr="00EE5AAF">
        <w:rPr>
          <w:rFonts w:ascii="Calibri" w:hAnsi="Calibri"/>
          <w:sz w:val="20"/>
        </w:rPr>
        <w:t>η</w:t>
      </w:r>
      <w:r>
        <w:rPr>
          <w:rFonts w:ascii="Calibri" w:hAnsi="Calibri"/>
          <w:sz w:val="20"/>
        </w:rPr>
        <w:t xml:space="preserve">γή: </w:t>
      </w:r>
      <w:r>
        <w:rPr>
          <w:rFonts w:ascii="Calibri" w:hAnsi="Calibri"/>
          <w:sz w:val="20"/>
          <w:lang w:val="en-US"/>
        </w:rPr>
        <w:t>Eurostat</w:t>
      </w:r>
    </w:p>
    <w:p w:rsidR="00BA0628" w:rsidRPr="00EE5AAF" w:rsidRDefault="00BA0628" w:rsidP="00BA0628">
      <w:pPr>
        <w:spacing w:before="120" w:after="120"/>
        <w:jc w:val="center"/>
        <w:rPr>
          <w:rFonts w:asciiTheme="minorHAnsi" w:hAnsiTheme="minorHAnsi" w:cstheme="minorHAnsi"/>
        </w:rPr>
      </w:pPr>
      <w:r>
        <w:rPr>
          <w:rFonts w:asciiTheme="minorHAnsi" w:hAnsiTheme="minorHAnsi" w:cstheme="minorHAnsi"/>
          <w:noProof/>
        </w:rPr>
        <w:drawing>
          <wp:inline distT="0" distB="0" distL="0" distR="0" wp14:anchorId="3AF786F9" wp14:editId="4501CC4F">
            <wp:extent cx="5481699" cy="3582922"/>
            <wp:effectExtent l="19050" t="19050" r="24130" b="1778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01230" cy="3595688"/>
                    </a:xfrm>
                    <a:prstGeom prst="rect">
                      <a:avLst/>
                    </a:prstGeom>
                    <a:noFill/>
                    <a:ln w="12700">
                      <a:solidFill>
                        <a:schemeClr val="tx1"/>
                      </a:solidFill>
                    </a:ln>
                  </pic:spPr>
                </pic:pic>
              </a:graphicData>
            </a:graphic>
          </wp:inline>
        </w:drawing>
      </w:r>
    </w:p>
    <w:p w:rsidR="00BA0628" w:rsidRDefault="00BA0628" w:rsidP="00BA0628">
      <w:pPr>
        <w:spacing w:before="120" w:after="120"/>
        <w:jc w:val="center"/>
        <w:rPr>
          <w:rFonts w:ascii="Calibri" w:hAnsi="Calibri"/>
          <w:i/>
        </w:rPr>
      </w:pPr>
    </w:p>
    <w:p w:rsidR="00BA0628" w:rsidRDefault="00BA0628" w:rsidP="00BA0628">
      <w:pPr>
        <w:spacing w:before="120" w:after="120"/>
        <w:jc w:val="center"/>
        <w:rPr>
          <w:rFonts w:ascii="Calibri" w:hAnsi="Calibri"/>
          <w:i/>
        </w:rPr>
      </w:pPr>
    </w:p>
    <w:p w:rsidR="00BA0628" w:rsidRDefault="00BA0628" w:rsidP="00BA0628">
      <w:pPr>
        <w:spacing w:before="120" w:after="120"/>
        <w:jc w:val="center"/>
        <w:rPr>
          <w:rFonts w:ascii="Calibri" w:hAnsi="Calibri"/>
          <w:i/>
        </w:rPr>
      </w:pPr>
    </w:p>
    <w:p w:rsidR="00BA0628" w:rsidRDefault="00BA0628" w:rsidP="00BA0628">
      <w:pPr>
        <w:spacing w:before="120" w:after="120"/>
        <w:jc w:val="center"/>
        <w:rPr>
          <w:rFonts w:ascii="Calibri" w:hAnsi="Calibri"/>
          <w:i/>
        </w:rPr>
      </w:pPr>
    </w:p>
    <w:p w:rsidR="00BA0628" w:rsidRDefault="00BA0628" w:rsidP="00BA0628">
      <w:pPr>
        <w:spacing w:before="120" w:after="120"/>
        <w:jc w:val="center"/>
        <w:rPr>
          <w:rFonts w:ascii="Calibri" w:hAnsi="Calibri"/>
          <w:i/>
        </w:rPr>
      </w:pPr>
    </w:p>
    <w:p w:rsidR="00BA0628" w:rsidRDefault="00BA0628" w:rsidP="00BA0628">
      <w:pPr>
        <w:spacing w:before="120" w:after="120"/>
        <w:jc w:val="center"/>
        <w:rPr>
          <w:rFonts w:ascii="Calibri" w:hAnsi="Calibri"/>
          <w:i/>
        </w:rPr>
      </w:pPr>
    </w:p>
    <w:p w:rsidR="00BA0628" w:rsidRDefault="00BA0628" w:rsidP="00BA0628">
      <w:pPr>
        <w:spacing w:before="120" w:after="120"/>
        <w:jc w:val="center"/>
        <w:rPr>
          <w:rFonts w:ascii="Calibri" w:hAnsi="Calibri"/>
          <w:i/>
        </w:rPr>
      </w:pPr>
    </w:p>
    <w:p w:rsidR="00BA0628" w:rsidRDefault="00BA0628" w:rsidP="00BA0628">
      <w:pPr>
        <w:spacing w:before="120" w:after="120"/>
        <w:jc w:val="center"/>
        <w:rPr>
          <w:rFonts w:ascii="Calibri" w:hAnsi="Calibri"/>
          <w:i/>
        </w:rPr>
      </w:pPr>
    </w:p>
    <w:p w:rsidR="00BA0628" w:rsidRDefault="00BA0628" w:rsidP="00BA0628">
      <w:pPr>
        <w:spacing w:before="120" w:after="120"/>
        <w:jc w:val="center"/>
        <w:rPr>
          <w:rFonts w:ascii="Calibri" w:hAnsi="Calibri"/>
          <w:i/>
        </w:rPr>
      </w:pPr>
    </w:p>
    <w:p w:rsidR="004E0A06" w:rsidRDefault="004E0A06">
      <w:pPr>
        <w:rPr>
          <w:rFonts w:ascii="Calibri" w:hAnsi="Calibri"/>
          <w:i/>
        </w:rPr>
      </w:pPr>
      <w:r>
        <w:rPr>
          <w:rFonts w:ascii="Calibri" w:hAnsi="Calibri"/>
          <w:i/>
        </w:rPr>
        <w:br w:type="page"/>
      </w:r>
    </w:p>
    <w:p w:rsidR="004E0A06" w:rsidRDefault="004E0A06" w:rsidP="00BA0628">
      <w:pPr>
        <w:spacing w:before="120" w:after="120"/>
        <w:jc w:val="center"/>
        <w:rPr>
          <w:rFonts w:ascii="Calibri" w:hAnsi="Calibri"/>
          <w:i/>
        </w:rPr>
      </w:pPr>
    </w:p>
    <w:p w:rsidR="00BA0628" w:rsidRDefault="00BA0628" w:rsidP="00BA0628">
      <w:pPr>
        <w:spacing w:before="120" w:after="120"/>
        <w:jc w:val="center"/>
        <w:rPr>
          <w:rFonts w:ascii="Calibri" w:hAnsi="Calibri"/>
          <w:i/>
        </w:rPr>
      </w:pPr>
      <w:r>
        <w:rPr>
          <w:rFonts w:ascii="Calibri" w:hAnsi="Calibri"/>
          <w:i/>
        </w:rPr>
        <w:t xml:space="preserve">Γράφημα 3: Ποσοστό ανεργίας ανά περιφέρεια. Συγκριτικά στοιχεία για τα έτη 2000 και 2016. </w:t>
      </w:r>
    </w:p>
    <w:p w:rsidR="00BA0628" w:rsidRPr="00AE1190" w:rsidRDefault="00BA0628" w:rsidP="00BA0628">
      <w:pPr>
        <w:spacing w:before="120" w:after="120"/>
        <w:jc w:val="center"/>
        <w:rPr>
          <w:rFonts w:ascii="Calibri" w:hAnsi="Calibri"/>
          <w:sz w:val="20"/>
        </w:rPr>
      </w:pPr>
      <w:r>
        <w:rPr>
          <w:rFonts w:ascii="Calibri" w:hAnsi="Calibri"/>
          <w:sz w:val="20"/>
        </w:rPr>
        <w:t>Π</w:t>
      </w:r>
      <w:r w:rsidRPr="00EE5AAF">
        <w:rPr>
          <w:rFonts w:ascii="Calibri" w:hAnsi="Calibri"/>
          <w:sz w:val="20"/>
        </w:rPr>
        <w:t>η</w:t>
      </w:r>
      <w:r>
        <w:rPr>
          <w:rFonts w:ascii="Calibri" w:hAnsi="Calibri"/>
          <w:sz w:val="20"/>
        </w:rPr>
        <w:t xml:space="preserve">γή: </w:t>
      </w:r>
      <w:r>
        <w:rPr>
          <w:rFonts w:ascii="Calibri" w:hAnsi="Calibri"/>
          <w:sz w:val="20"/>
          <w:lang w:val="en-US"/>
        </w:rPr>
        <w:t>Eurostat</w:t>
      </w:r>
    </w:p>
    <w:p w:rsidR="00BA0628" w:rsidRPr="00EE5AAF" w:rsidRDefault="00BA0628" w:rsidP="00BA0628">
      <w:pPr>
        <w:spacing w:before="120" w:after="120"/>
        <w:jc w:val="center"/>
        <w:rPr>
          <w:rFonts w:asciiTheme="minorHAnsi" w:hAnsiTheme="minorHAnsi" w:cstheme="minorHAnsi"/>
        </w:rPr>
      </w:pPr>
      <w:r>
        <w:rPr>
          <w:noProof/>
        </w:rPr>
        <w:drawing>
          <wp:inline distT="0" distB="0" distL="0" distR="0" wp14:anchorId="7107C1F8" wp14:editId="6723B4B7">
            <wp:extent cx="4579777" cy="7509705"/>
            <wp:effectExtent l="0" t="0" r="0" b="0"/>
            <wp:docPr id="3"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0628" w:rsidRDefault="00BA0628" w:rsidP="00BA0628">
      <w:pPr>
        <w:spacing w:before="120" w:after="120"/>
        <w:jc w:val="both"/>
        <w:rPr>
          <w:rFonts w:asciiTheme="minorHAnsi" w:hAnsiTheme="minorHAnsi" w:cstheme="minorHAnsi"/>
        </w:rPr>
      </w:pPr>
    </w:p>
    <w:p w:rsidR="005C6CE4" w:rsidRDefault="005C6CE4" w:rsidP="005C6CE4">
      <w:pPr>
        <w:rPr>
          <w:rFonts w:cs="Arial"/>
          <w:sz w:val="24"/>
        </w:rPr>
      </w:pPr>
    </w:p>
    <w:p w:rsidR="005C6CE4" w:rsidRDefault="005C6CE4" w:rsidP="005C6CE4">
      <w:pPr>
        <w:rPr>
          <w:rFonts w:cs="Arial"/>
          <w:sz w:val="24"/>
        </w:rPr>
      </w:pPr>
    </w:p>
    <w:p w:rsidR="005C6CE4" w:rsidRDefault="005C6CE4" w:rsidP="005C6CE4">
      <w:pPr>
        <w:rPr>
          <w:rFonts w:cs="Arial"/>
          <w:sz w:val="24"/>
        </w:rPr>
      </w:pPr>
    </w:p>
    <w:p w:rsidR="005C6CE4" w:rsidRDefault="005C6CE4" w:rsidP="005C6CE4">
      <w:pPr>
        <w:rPr>
          <w:rFonts w:cs="Arial"/>
          <w:sz w:val="24"/>
        </w:rPr>
      </w:pPr>
    </w:p>
    <w:p w:rsidR="005C6CE4" w:rsidRDefault="005C6CE4" w:rsidP="005C6CE4">
      <w:pPr>
        <w:rPr>
          <w:rFonts w:cs="Arial"/>
          <w:sz w:val="24"/>
        </w:rPr>
      </w:pPr>
    </w:p>
    <w:p w:rsidR="005C6CE4" w:rsidRDefault="005C6CE4" w:rsidP="005C6CE4">
      <w:pPr>
        <w:rPr>
          <w:rFonts w:cs="Arial"/>
          <w:sz w:val="24"/>
        </w:rPr>
      </w:pPr>
    </w:p>
    <w:p w:rsidR="005C6CE4" w:rsidRDefault="005C6CE4" w:rsidP="005C6CE4">
      <w:pPr>
        <w:rPr>
          <w:rFonts w:cs="Arial"/>
          <w:sz w:val="24"/>
        </w:rPr>
      </w:pPr>
    </w:p>
    <w:p w:rsidR="005C6CE4" w:rsidRDefault="005C6CE4" w:rsidP="005C6CE4">
      <w:pPr>
        <w:rPr>
          <w:rFonts w:cs="Arial"/>
          <w:sz w:val="24"/>
        </w:rPr>
      </w:pPr>
    </w:p>
    <w:p w:rsidR="005C6CE4" w:rsidRDefault="005C6CE4" w:rsidP="005C6CE4">
      <w:pPr>
        <w:rPr>
          <w:rFonts w:cs="Arial"/>
          <w:sz w:val="24"/>
        </w:rPr>
      </w:pPr>
    </w:p>
    <w:p w:rsidR="005C6CE4" w:rsidRDefault="005C6CE4" w:rsidP="005C6CE4">
      <w:pPr>
        <w:rPr>
          <w:rFonts w:cs="Arial"/>
          <w:sz w:val="24"/>
        </w:rPr>
      </w:pPr>
    </w:p>
    <w:p w:rsidR="005C6CE4" w:rsidRDefault="005C6CE4" w:rsidP="005C6CE4">
      <w:pPr>
        <w:rPr>
          <w:rFonts w:cs="Arial"/>
          <w:sz w:val="24"/>
        </w:rPr>
      </w:pPr>
    </w:p>
    <w:p w:rsidR="005C6CE4" w:rsidRDefault="005C6CE4" w:rsidP="005C6CE4">
      <w:pPr>
        <w:rPr>
          <w:rFonts w:cs="Arial"/>
          <w:sz w:val="24"/>
        </w:rPr>
      </w:pPr>
    </w:p>
    <w:p w:rsidR="005C6CE4" w:rsidRDefault="005C6CE4" w:rsidP="005C6CE4">
      <w:pPr>
        <w:rPr>
          <w:rFonts w:cs="Arial"/>
          <w:sz w:val="24"/>
        </w:rPr>
      </w:pPr>
    </w:p>
    <w:p w:rsidR="005C6CE4" w:rsidRDefault="005C6CE4" w:rsidP="005C6CE4">
      <w:pPr>
        <w:rPr>
          <w:rFonts w:cs="Arial"/>
          <w:sz w:val="24"/>
        </w:rPr>
      </w:pPr>
    </w:p>
    <w:p w:rsidR="005C6CE4" w:rsidRDefault="005C6CE4" w:rsidP="005C6CE4">
      <w:pPr>
        <w:rPr>
          <w:rFonts w:cs="Arial"/>
          <w:sz w:val="24"/>
        </w:rPr>
      </w:pPr>
    </w:p>
    <w:p w:rsidR="005C6CE4" w:rsidRDefault="005C6CE4" w:rsidP="005C6CE4">
      <w:pPr>
        <w:rPr>
          <w:rFonts w:cs="Arial"/>
          <w:sz w:val="24"/>
        </w:rPr>
      </w:pPr>
    </w:p>
    <w:p w:rsidR="005C6CE4" w:rsidRPr="00127B85" w:rsidRDefault="005C6CE4" w:rsidP="005C6CE4">
      <w:pPr>
        <w:spacing w:after="60"/>
        <w:jc w:val="center"/>
        <w:rPr>
          <w:rFonts w:ascii="Calibri" w:eastAsia="Calibri" w:hAnsi="Calibri"/>
          <w:color w:val="1F3864"/>
          <w:sz w:val="32"/>
          <w:szCs w:val="32"/>
        </w:rPr>
      </w:pPr>
    </w:p>
    <w:p w:rsidR="005C6CE4" w:rsidRPr="00127B85" w:rsidRDefault="005C6CE4" w:rsidP="005C6CE4">
      <w:pPr>
        <w:pBdr>
          <w:bottom w:val="single" w:sz="4" w:space="1" w:color="auto"/>
        </w:pBdr>
        <w:spacing w:after="60"/>
        <w:jc w:val="center"/>
        <w:rPr>
          <w:rFonts w:ascii="Calibri" w:eastAsia="Calibri" w:hAnsi="Calibri"/>
          <w:b/>
          <w:color w:val="1F3864"/>
          <w:sz w:val="40"/>
          <w:szCs w:val="32"/>
        </w:rPr>
      </w:pPr>
      <w:r>
        <w:rPr>
          <w:rFonts w:ascii="Calibri" w:eastAsia="Calibri" w:hAnsi="Calibri"/>
          <w:b/>
          <w:color w:val="1F3864"/>
          <w:sz w:val="40"/>
          <w:szCs w:val="32"/>
        </w:rPr>
        <w:t>ΕΙΔΙΚΑ ΘΕΜΑΤΑ ΒΙΟΜΗΧΑΝΙΑΣ</w:t>
      </w:r>
    </w:p>
    <w:p w:rsidR="005C6CE4" w:rsidRDefault="005C6CE4" w:rsidP="005C6CE4">
      <w:pPr>
        <w:spacing w:after="60"/>
        <w:jc w:val="center"/>
        <w:rPr>
          <w:rFonts w:ascii="Calibri" w:hAnsi="Calibri"/>
          <w:b/>
          <w:sz w:val="28"/>
        </w:rPr>
      </w:pPr>
    </w:p>
    <w:p w:rsidR="005C6CE4" w:rsidRDefault="005C6CE4" w:rsidP="005C6CE4">
      <w:pPr>
        <w:spacing w:after="60"/>
        <w:jc w:val="center"/>
        <w:rPr>
          <w:rFonts w:ascii="Calibri" w:hAnsi="Calibri"/>
          <w:b/>
          <w:sz w:val="28"/>
        </w:rPr>
      </w:pPr>
    </w:p>
    <w:p w:rsidR="005C6CE4" w:rsidRDefault="005C6CE4" w:rsidP="005C6CE4">
      <w:pPr>
        <w:spacing w:after="60"/>
        <w:jc w:val="center"/>
        <w:rPr>
          <w:rFonts w:ascii="Calibri" w:hAnsi="Calibri"/>
          <w:b/>
          <w:sz w:val="28"/>
        </w:rPr>
      </w:pPr>
    </w:p>
    <w:p w:rsidR="005C6CE4" w:rsidRDefault="005C6CE4" w:rsidP="005C6CE4">
      <w:pPr>
        <w:spacing w:after="60"/>
        <w:jc w:val="center"/>
        <w:rPr>
          <w:rFonts w:ascii="Calibri" w:hAnsi="Calibri"/>
          <w:b/>
          <w:sz w:val="28"/>
        </w:rPr>
      </w:pPr>
    </w:p>
    <w:p w:rsidR="005C6CE4" w:rsidRDefault="005C6CE4" w:rsidP="005C6CE4">
      <w:pPr>
        <w:spacing w:after="60"/>
        <w:jc w:val="center"/>
        <w:rPr>
          <w:rFonts w:ascii="Calibri" w:hAnsi="Calibri"/>
          <w:b/>
          <w:sz w:val="28"/>
        </w:rPr>
      </w:pPr>
    </w:p>
    <w:p w:rsidR="005C6CE4" w:rsidRDefault="005C6CE4" w:rsidP="005C6CE4">
      <w:pPr>
        <w:spacing w:after="60"/>
        <w:jc w:val="center"/>
        <w:rPr>
          <w:rFonts w:ascii="Calibri" w:hAnsi="Calibri"/>
          <w:b/>
          <w:sz w:val="28"/>
        </w:rPr>
      </w:pPr>
    </w:p>
    <w:p w:rsidR="005C6CE4" w:rsidRDefault="005C6CE4" w:rsidP="005C6CE4">
      <w:pPr>
        <w:rPr>
          <w:rFonts w:ascii="Calibri" w:eastAsia="Calibri" w:hAnsi="Calibri"/>
        </w:rPr>
      </w:pPr>
      <w:r>
        <w:rPr>
          <w:rFonts w:ascii="Calibri" w:eastAsia="Calibri" w:hAnsi="Calibri"/>
        </w:rPr>
        <w:br w:type="page"/>
      </w:r>
    </w:p>
    <w:p w:rsidR="005C6CE4" w:rsidRPr="00127B85" w:rsidRDefault="005C6CE4" w:rsidP="005C6CE4">
      <w:pPr>
        <w:jc w:val="both"/>
        <w:rPr>
          <w:rFonts w:ascii="Calibri" w:eastAsia="Calibri" w:hAnsi="Calibri"/>
          <w:b/>
          <w:color w:val="1F3864"/>
          <w:sz w:val="28"/>
          <w:szCs w:val="32"/>
        </w:rPr>
      </w:pPr>
      <w:r>
        <w:rPr>
          <w:rFonts w:ascii="Calibri" w:eastAsia="Calibri" w:hAnsi="Calibri"/>
          <w:b/>
          <w:color w:val="1F3864"/>
          <w:sz w:val="28"/>
          <w:szCs w:val="32"/>
        </w:rPr>
        <w:lastRenderedPageBreak/>
        <w:t>ΕΙΣΑΓΩΓΗ</w:t>
      </w:r>
    </w:p>
    <w:p w:rsidR="005C6CE4" w:rsidRDefault="005C6CE4" w:rsidP="005C6CE4">
      <w:pPr>
        <w:spacing w:after="60"/>
        <w:jc w:val="both"/>
        <w:rPr>
          <w:rFonts w:ascii="Calibri" w:hAnsi="Calibri"/>
        </w:rPr>
      </w:pPr>
      <w:r>
        <w:rPr>
          <w:rFonts w:ascii="Calibri" w:hAnsi="Calibri"/>
        </w:rPr>
        <w:t xml:space="preserve">Το μεγάλο θέμα της αποβιομηχάνισης της χώρας τις τελευταίες δεκαετίες, δεν προέκυψε αποκλειστικά και μόνο από τις εξελίξεις στο παγκόσμιο περιβάλλον της εγχώριας μεταποίησης. Ήταν και αποτέλεσμα, αθροιστικό μάλιστα, των παθογενειών που ίσχυσαν και εξακολουθούν να ισχύουν, στο εγχώριο περιβάλλον δραστηριοποίησης των μεταποιητικών επιχειρήσεων. Η διαδικασία σχεδιασμού του νέου παραγωγικού υποδείγματος της χώρας, κατά τον ΣΒΒΕ, διέρχεται με σαφήνεια από την επίλυση συγκεκριμένων προβλημάτων, που είτε προέρχονται από το ισχύον καθεστώς φορολογίας των επιχειρήσεων, είτε από τη δομή της αγοράς. </w:t>
      </w:r>
    </w:p>
    <w:p w:rsidR="005C6CE4" w:rsidRPr="00E7043C" w:rsidRDefault="005C6CE4" w:rsidP="005C6CE4">
      <w:pPr>
        <w:jc w:val="both"/>
        <w:rPr>
          <w:rFonts w:ascii="Calibri" w:hAnsi="Calibri"/>
        </w:rPr>
      </w:pPr>
    </w:p>
    <w:p w:rsidR="005C6CE4" w:rsidRDefault="005C6CE4" w:rsidP="005C6CE4">
      <w:pPr>
        <w:ind w:left="720" w:hanging="720"/>
        <w:jc w:val="both"/>
        <w:rPr>
          <w:rFonts w:ascii="Calibri" w:eastAsia="Calibri" w:hAnsi="Calibri"/>
          <w:b/>
          <w:color w:val="1F3864"/>
          <w:sz w:val="28"/>
          <w:szCs w:val="32"/>
        </w:rPr>
      </w:pPr>
      <w:r>
        <w:rPr>
          <w:rFonts w:ascii="Calibri" w:eastAsia="Calibri" w:hAnsi="Calibri"/>
          <w:b/>
          <w:color w:val="1F3864"/>
          <w:sz w:val="28"/>
          <w:szCs w:val="32"/>
        </w:rPr>
        <w:t>Α</w:t>
      </w:r>
      <w:r w:rsidRPr="00323253">
        <w:rPr>
          <w:rFonts w:ascii="Calibri" w:eastAsia="Calibri" w:hAnsi="Calibri"/>
          <w:b/>
          <w:color w:val="1F3864"/>
          <w:sz w:val="28"/>
          <w:szCs w:val="32"/>
        </w:rPr>
        <w:t>]</w:t>
      </w:r>
      <w:r w:rsidRPr="00323253">
        <w:rPr>
          <w:rFonts w:ascii="Calibri" w:eastAsia="Calibri" w:hAnsi="Calibri"/>
          <w:b/>
          <w:color w:val="1F3864"/>
          <w:sz w:val="28"/>
          <w:szCs w:val="32"/>
        </w:rPr>
        <w:tab/>
      </w:r>
      <w:r>
        <w:rPr>
          <w:rFonts w:ascii="Calibri" w:eastAsia="Calibri" w:hAnsi="Calibri"/>
          <w:b/>
          <w:color w:val="1F3864"/>
          <w:sz w:val="28"/>
          <w:szCs w:val="32"/>
        </w:rPr>
        <w:t xml:space="preserve">ΠΡΟΒΛΗΜΑΤΑ ΑΠΟ ΤΟ ΙΣΧΥΟΝ ΦΟΡΟΛΟΓΙΚΟ ΣΥΣΤΗΜΑ </w:t>
      </w:r>
    </w:p>
    <w:p w:rsidR="005C6CE4" w:rsidRPr="00E7043C" w:rsidRDefault="005C6CE4" w:rsidP="005C6CE4">
      <w:pPr>
        <w:jc w:val="both"/>
        <w:rPr>
          <w:rFonts w:ascii="Calibri" w:hAnsi="Calibri"/>
        </w:rPr>
      </w:pPr>
    </w:p>
    <w:p w:rsidR="005C6CE4" w:rsidRPr="003450B4" w:rsidRDefault="005C6CE4" w:rsidP="005C6CE4">
      <w:pPr>
        <w:jc w:val="center"/>
        <w:rPr>
          <w:rFonts w:ascii="Calibri" w:eastAsia="Calibri" w:hAnsi="Calibri"/>
          <w:b/>
          <w:sz w:val="28"/>
          <w:szCs w:val="28"/>
        </w:rPr>
      </w:pPr>
      <w:r w:rsidRPr="00E60016">
        <w:rPr>
          <w:rFonts w:ascii="Calibri" w:eastAsia="Calibri" w:hAnsi="Calibri"/>
          <w:b/>
          <w:sz w:val="28"/>
          <w:szCs w:val="28"/>
        </w:rPr>
        <w:t xml:space="preserve">Φορολογικά κίνητρα αποσβέσεων παγίων </w:t>
      </w:r>
    </w:p>
    <w:p w:rsidR="005C6CE4" w:rsidRPr="002640D2" w:rsidRDefault="005C6CE4" w:rsidP="005C6CE4">
      <w:pPr>
        <w:jc w:val="both"/>
        <w:rPr>
          <w:rFonts w:ascii="Calibri" w:eastAsia="Calibri" w:hAnsi="Calibri"/>
        </w:rPr>
      </w:pPr>
      <w:r w:rsidRPr="002640D2">
        <w:rPr>
          <w:rFonts w:ascii="Calibri" w:eastAsia="Calibri" w:hAnsi="Calibri"/>
        </w:rPr>
        <w:t xml:space="preserve">Τα φορολογικά κίνητρα αποσβέσεων παγίων που προτείνουμε </w:t>
      </w:r>
      <w:r>
        <w:rPr>
          <w:rFonts w:ascii="Calibri" w:eastAsia="Calibri" w:hAnsi="Calibri"/>
        </w:rPr>
        <w:t xml:space="preserve">ισχύσουν στο εξής, </w:t>
      </w:r>
      <w:r w:rsidRPr="002640D2">
        <w:rPr>
          <w:rFonts w:ascii="Calibri" w:eastAsia="Calibri" w:hAnsi="Calibri"/>
        </w:rPr>
        <w:t>είναι :</w:t>
      </w:r>
    </w:p>
    <w:p w:rsidR="005C6CE4" w:rsidRPr="002640D2" w:rsidRDefault="005C6CE4" w:rsidP="005C6CE4">
      <w:pPr>
        <w:jc w:val="both"/>
        <w:rPr>
          <w:rFonts w:ascii="Calibri" w:eastAsia="Calibri" w:hAnsi="Calibri"/>
        </w:rPr>
      </w:pPr>
      <w:r w:rsidRPr="00C628D3">
        <w:rPr>
          <w:rFonts w:ascii="Calibri" w:eastAsia="Calibri" w:hAnsi="Calibri"/>
          <w:b/>
        </w:rPr>
        <w:t>Α. Επαναφορά διατάξεων του ΠΔ 299/2003:</w:t>
      </w:r>
      <w:r>
        <w:rPr>
          <w:rFonts w:ascii="Calibri" w:eastAsia="Calibri" w:hAnsi="Calibri"/>
        </w:rPr>
        <w:t xml:space="preserve"> το </w:t>
      </w:r>
      <w:r w:rsidRPr="002640D2">
        <w:rPr>
          <w:rFonts w:ascii="Calibri" w:eastAsia="Calibri" w:hAnsi="Calibri"/>
        </w:rPr>
        <w:t xml:space="preserve">ΠΔ 299/2003 προέβλεπε μεταξύ άλλων, αυξημένους συντελεστές απόσβεσης για τις περισσότερες κατηγορίες παγίων καθώς και τη δυνατότητα χρήσης ανώτερου και κατώτερου συντελεστή απόσβεσης κατ’ επιλογή από τις επιχειρήσεις. </w:t>
      </w:r>
    </w:p>
    <w:p w:rsidR="005C6CE4" w:rsidRDefault="005C6CE4" w:rsidP="00AA0D6E">
      <w:pPr>
        <w:ind w:left="720" w:hanging="436"/>
        <w:jc w:val="both"/>
        <w:rPr>
          <w:rFonts w:ascii="Calibri" w:eastAsia="Calibri" w:hAnsi="Calibri"/>
        </w:rPr>
      </w:pPr>
      <w:r w:rsidRPr="00C628D3">
        <w:rPr>
          <w:rFonts w:ascii="Calibri" w:eastAsia="Calibri" w:hAnsi="Calibri"/>
          <w:b/>
        </w:rPr>
        <w:t>Α1. Μέθοδος Φθίνουσας Απόσβεσης:</w:t>
      </w:r>
      <w:r>
        <w:rPr>
          <w:rFonts w:ascii="Calibri" w:eastAsia="Calibri" w:hAnsi="Calibri"/>
        </w:rPr>
        <w:t xml:space="preserve"> π</w:t>
      </w:r>
      <w:r w:rsidRPr="002640D2">
        <w:rPr>
          <w:rFonts w:ascii="Calibri" w:eastAsia="Calibri" w:hAnsi="Calibri"/>
        </w:rPr>
        <w:t xml:space="preserve">ροτείνεται η επαναφορά της μεθόδου της φθίνουσας απόσβεσης για τον εξοπλισμό των παραγωγικών επιχειρήσεων (Μηχανήματα). Με την εφαρμογή της μεθόδου η απόσβεση γίνεται με τον συντελεστή στο τριπλάσιο του κανονικού </w:t>
      </w:r>
    </w:p>
    <w:p w:rsidR="005C6CE4" w:rsidRPr="002640D2" w:rsidRDefault="005C6CE4" w:rsidP="00AA0D6E">
      <w:pPr>
        <w:ind w:left="720" w:hanging="436"/>
        <w:jc w:val="both"/>
        <w:rPr>
          <w:rFonts w:ascii="Calibri" w:eastAsia="Calibri" w:hAnsi="Calibri"/>
        </w:rPr>
      </w:pPr>
      <w:r w:rsidRPr="00C628D3">
        <w:rPr>
          <w:rFonts w:ascii="Calibri" w:eastAsia="Calibri" w:hAnsi="Calibri"/>
          <w:b/>
        </w:rPr>
        <w:t>Α2. Υιοθέτηση νέων συντελεστών και επαναφορά του μέτρου του ανώτερου και κατώτερου συντελεστή</w:t>
      </w:r>
      <w:r>
        <w:rPr>
          <w:rFonts w:ascii="Calibri" w:eastAsia="Calibri" w:hAnsi="Calibri"/>
          <w:b/>
        </w:rPr>
        <w:t xml:space="preserve">: </w:t>
      </w:r>
      <w:r w:rsidRPr="002640D2">
        <w:rPr>
          <w:rFonts w:ascii="Calibri" w:eastAsia="Calibri" w:hAnsi="Calibri"/>
        </w:rPr>
        <w:t>Προτείνεται η υιοθέτηση νέων συντελεστών αυξημένων σε ποσοστό τουλάχιστον 50% σε σχέση με τους υπάρχοντες, οι οποίοι θα οριστούν ως ανώτεροι συντελεστές απόσβεσης και σε συνδυασμό με τους υπάρχοντες η επιχείρηση θα μπορεί να επιλέξει τον συντελεστή που ανταποκρίνεται στις ιδιαίτερες ανάγκες της.</w:t>
      </w:r>
    </w:p>
    <w:p w:rsidR="005C6CE4" w:rsidRPr="00C628D3" w:rsidRDefault="005C6CE4" w:rsidP="005C6CE4">
      <w:pPr>
        <w:jc w:val="both"/>
        <w:rPr>
          <w:rFonts w:ascii="Calibri" w:eastAsia="Calibri" w:hAnsi="Calibri"/>
          <w:b/>
        </w:rPr>
      </w:pPr>
      <w:r w:rsidRPr="00C628D3">
        <w:rPr>
          <w:rFonts w:ascii="Calibri" w:eastAsia="Calibri" w:hAnsi="Calibri"/>
          <w:b/>
        </w:rPr>
        <w:t xml:space="preserve">Β. Περαιτέρω εφαρμογή της μεθόδου των </w:t>
      </w:r>
      <w:proofErr w:type="spellStart"/>
      <w:r w:rsidRPr="00C628D3">
        <w:rPr>
          <w:rFonts w:ascii="Calibri" w:eastAsia="Calibri" w:hAnsi="Calibri"/>
          <w:b/>
        </w:rPr>
        <w:t>υπερ</w:t>
      </w:r>
      <w:proofErr w:type="spellEnd"/>
      <w:r>
        <w:rPr>
          <w:rFonts w:ascii="Calibri" w:eastAsia="Calibri" w:hAnsi="Calibri"/>
          <w:b/>
        </w:rPr>
        <w:t>-</w:t>
      </w:r>
      <w:r w:rsidRPr="00C628D3">
        <w:rPr>
          <w:rFonts w:ascii="Calibri" w:eastAsia="Calibri" w:hAnsi="Calibri"/>
          <w:b/>
        </w:rPr>
        <w:t>αποσβέσεων</w:t>
      </w:r>
      <w:r>
        <w:rPr>
          <w:rFonts w:ascii="Calibri" w:eastAsia="Calibri" w:hAnsi="Calibri"/>
          <w:b/>
        </w:rPr>
        <w:t>:</w:t>
      </w:r>
    </w:p>
    <w:p w:rsidR="005C6CE4" w:rsidRPr="002640D2" w:rsidRDefault="005C6CE4" w:rsidP="005C6CE4">
      <w:pPr>
        <w:jc w:val="both"/>
        <w:rPr>
          <w:rFonts w:ascii="Calibri" w:eastAsia="Calibri" w:hAnsi="Calibri"/>
        </w:rPr>
      </w:pPr>
      <w:r w:rsidRPr="002640D2">
        <w:rPr>
          <w:rFonts w:ascii="Calibri" w:eastAsia="Calibri" w:hAnsi="Calibri"/>
        </w:rPr>
        <w:t xml:space="preserve">Η μέθοδος των </w:t>
      </w:r>
      <w:proofErr w:type="spellStart"/>
      <w:r w:rsidRPr="002640D2">
        <w:rPr>
          <w:rFonts w:ascii="Calibri" w:eastAsia="Calibri" w:hAnsi="Calibri"/>
        </w:rPr>
        <w:t>υπερ</w:t>
      </w:r>
      <w:proofErr w:type="spellEnd"/>
      <w:r>
        <w:rPr>
          <w:rFonts w:ascii="Calibri" w:eastAsia="Calibri" w:hAnsi="Calibri"/>
        </w:rPr>
        <w:t>-</w:t>
      </w:r>
      <w:r w:rsidRPr="002640D2">
        <w:rPr>
          <w:rFonts w:ascii="Calibri" w:eastAsia="Calibri" w:hAnsi="Calibri"/>
        </w:rPr>
        <w:t>αποσβέσεων χρησιμοποιείται σε πολλές ευρωπαϊκές χώρες. Στη χώρα μας η φορολογική νομοθεσία δίνει παρόμοια κίνητρα στον ΚΦΕ τόσο μ</w:t>
      </w:r>
      <w:r>
        <w:rPr>
          <w:rFonts w:ascii="Calibri" w:eastAsia="Calibri" w:hAnsi="Calibri"/>
        </w:rPr>
        <w:t>ε το άρθρο 22</w:t>
      </w:r>
      <w:r w:rsidRPr="00C628D3">
        <w:rPr>
          <w:rFonts w:ascii="Calibri" w:eastAsia="Calibri" w:hAnsi="Calibri"/>
          <w:vertAlign w:val="superscript"/>
        </w:rPr>
        <w:t>Α</w:t>
      </w:r>
      <w:r>
        <w:rPr>
          <w:rFonts w:ascii="Calibri" w:eastAsia="Calibri" w:hAnsi="Calibri"/>
        </w:rPr>
        <w:t xml:space="preserve">, </w:t>
      </w:r>
      <w:r w:rsidRPr="002640D2">
        <w:rPr>
          <w:rFonts w:ascii="Calibri" w:eastAsia="Calibri" w:hAnsi="Calibri"/>
        </w:rPr>
        <w:t>όσο και με την παράγραφο 10 του άρθρου 24</w:t>
      </w:r>
      <w:r>
        <w:rPr>
          <w:rFonts w:ascii="Calibri" w:eastAsia="Calibri" w:hAnsi="Calibri"/>
        </w:rPr>
        <w:t>. Π</w:t>
      </w:r>
      <w:r w:rsidRPr="002640D2">
        <w:rPr>
          <w:rFonts w:ascii="Calibri" w:eastAsia="Calibri" w:hAnsi="Calibri"/>
        </w:rPr>
        <w:t>ροτείνεται να επεκταθεί το μέτρο και στις επενδύσεις που αφορούν εξοπλισμό πληροφορικής καθώς και στον μηχανολογικό εξοπλισμό των μεταποιητικών επιχειρήσεων.</w:t>
      </w:r>
    </w:p>
    <w:p w:rsidR="005C6CE4" w:rsidRDefault="005C6CE4" w:rsidP="005C6CE4">
      <w:pPr>
        <w:jc w:val="both"/>
        <w:rPr>
          <w:rFonts w:ascii="Calibri" w:eastAsia="Calibri" w:hAnsi="Calibri"/>
        </w:rPr>
      </w:pPr>
      <w:r w:rsidRPr="00C628D3">
        <w:rPr>
          <w:rFonts w:ascii="Calibri" w:eastAsia="Calibri" w:hAnsi="Calibri"/>
          <w:b/>
        </w:rPr>
        <w:t>Γ. Μέθοδος της αντικατάστασης</w:t>
      </w:r>
      <w:r>
        <w:rPr>
          <w:rFonts w:ascii="Calibri" w:eastAsia="Calibri" w:hAnsi="Calibri"/>
          <w:b/>
        </w:rPr>
        <w:t>:</w:t>
      </w:r>
      <w:r>
        <w:rPr>
          <w:rFonts w:ascii="Calibri" w:eastAsia="Calibri" w:hAnsi="Calibri"/>
        </w:rPr>
        <w:t xml:space="preserve"> επειδή </w:t>
      </w:r>
      <w:r w:rsidRPr="002640D2">
        <w:rPr>
          <w:rFonts w:ascii="Calibri" w:eastAsia="Calibri" w:hAnsi="Calibri"/>
        </w:rPr>
        <w:t xml:space="preserve">η πώληση παλαιού μηχανήματος </w:t>
      </w:r>
      <w:r>
        <w:rPr>
          <w:rFonts w:ascii="Calibri" w:eastAsia="Calibri" w:hAnsi="Calibri"/>
        </w:rPr>
        <w:t xml:space="preserve">από μια επιχείρησης </w:t>
      </w:r>
      <w:r w:rsidRPr="002640D2">
        <w:rPr>
          <w:rFonts w:ascii="Calibri" w:eastAsia="Calibri" w:hAnsi="Calibri"/>
        </w:rPr>
        <w:t>αντιμετωπίζεται ως κέρδος απ</w:t>
      </w:r>
      <w:r>
        <w:rPr>
          <w:rFonts w:ascii="Calibri" w:eastAsia="Calibri" w:hAnsi="Calibri"/>
        </w:rPr>
        <w:t xml:space="preserve">ό επιχειρηματική δραστηριότητα, προτείνεται να ισχύσει η </w:t>
      </w:r>
      <w:proofErr w:type="spellStart"/>
      <w:r>
        <w:rPr>
          <w:rFonts w:ascii="Calibri" w:eastAsia="Calibri" w:hAnsi="Calibri"/>
        </w:rPr>
        <w:t>μέθοδοος</w:t>
      </w:r>
      <w:proofErr w:type="spellEnd"/>
      <w:r>
        <w:rPr>
          <w:rFonts w:ascii="Calibri" w:eastAsia="Calibri" w:hAnsi="Calibri"/>
        </w:rPr>
        <w:t xml:space="preserve"> της αντικατάστασης. </w:t>
      </w:r>
      <w:r w:rsidRPr="002640D2">
        <w:rPr>
          <w:rFonts w:ascii="Calibri" w:eastAsia="Calibri" w:hAnsi="Calibri"/>
        </w:rPr>
        <w:t>Με την μέθοδο της αντικατάστασης προτείνεται το κέρδος που προκύπτει από την πώληση του παλαιού μηχανήματος να μειώνει την αξία του νέου και οι αποσβέσεις να υπολογίζονται στην νέα μειωμένη αξία. Με τον τρόπο αυτό από την μία το δημόσιο δεν χάνει φορολογητέα ύλη (μακροπρόθεσμα) ενώ η φορολόγηση του παλαιού δεν είναι αποτρεπτική της νέας επένδυσης.</w:t>
      </w:r>
    </w:p>
    <w:p w:rsidR="005C6CE4" w:rsidRDefault="005C6CE4" w:rsidP="005C6CE4">
      <w:pPr>
        <w:jc w:val="both"/>
        <w:rPr>
          <w:rFonts w:ascii="Calibri" w:eastAsia="Calibri" w:hAnsi="Calibri"/>
        </w:rPr>
      </w:pPr>
    </w:p>
    <w:p w:rsidR="005C6CE4" w:rsidRPr="00E60016" w:rsidRDefault="005C6CE4" w:rsidP="005C6CE4">
      <w:pPr>
        <w:jc w:val="center"/>
        <w:rPr>
          <w:rFonts w:ascii="Calibri" w:eastAsia="Calibri" w:hAnsi="Calibri"/>
          <w:b/>
          <w:sz w:val="28"/>
          <w:szCs w:val="28"/>
        </w:rPr>
      </w:pPr>
      <w:r>
        <w:rPr>
          <w:rFonts w:ascii="Calibri" w:eastAsia="Calibri" w:hAnsi="Calibri"/>
          <w:b/>
          <w:sz w:val="28"/>
          <w:szCs w:val="28"/>
        </w:rPr>
        <w:t>Ζητήματα του Κ</w:t>
      </w:r>
      <w:r w:rsidRPr="00E60016">
        <w:rPr>
          <w:rFonts w:ascii="Calibri" w:eastAsia="Calibri" w:hAnsi="Calibri"/>
          <w:b/>
          <w:sz w:val="28"/>
          <w:szCs w:val="28"/>
        </w:rPr>
        <w:t xml:space="preserve">ώδικα Φορολογίας Εισοδήματος </w:t>
      </w:r>
      <w:r>
        <w:rPr>
          <w:rFonts w:ascii="Calibri" w:eastAsia="Calibri" w:hAnsi="Calibri"/>
          <w:b/>
          <w:sz w:val="28"/>
          <w:szCs w:val="28"/>
        </w:rPr>
        <w:t>(ΚΦΕ)</w:t>
      </w:r>
    </w:p>
    <w:p w:rsidR="005C6CE4" w:rsidRDefault="005C6CE4" w:rsidP="005C6CE4">
      <w:pPr>
        <w:numPr>
          <w:ilvl w:val="0"/>
          <w:numId w:val="35"/>
        </w:numPr>
        <w:spacing w:after="160"/>
        <w:ind w:left="426" w:hanging="426"/>
        <w:jc w:val="both"/>
        <w:rPr>
          <w:rFonts w:ascii="Calibri" w:eastAsia="Calibri" w:hAnsi="Calibri" w:cs="Arial"/>
        </w:rPr>
      </w:pPr>
      <w:r w:rsidRPr="00C628D3">
        <w:rPr>
          <w:rFonts w:ascii="Calibri" w:eastAsia="Calibri" w:hAnsi="Calibri" w:cs="Arial"/>
        </w:rPr>
        <w:t xml:space="preserve">Βελτίωση της διάταξης για την έκπτωση των ομαδικών ασφαλιστηρίων συμβολαίων του </w:t>
      </w:r>
      <w:r>
        <w:rPr>
          <w:rFonts w:ascii="Calibri" w:eastAsia="Calibri" w:hAnsi="Calibri" w:cs="Arial"/>
        </w:rPr>
        <w:t xml:space="preserve">άρθρου 14 του ΚΦΕ. </w:t>
      </w:r>
    </w:p>
    <w:p w:rsidR="005C6CE4" w:rsidRPr="00C628D3" w:rsidRDefault="005C6CE4" w:rsidP="005C6CE4">
      <w:pPr>
        <w:numPr>
          <w:ilvl w:val="0"/>
          <w:numId w:val="35"/>
        </w:numPr>
        <w:spacing w:after="160"/>
        <w:ind w:left="426" w:hanging="426"/>
        <w:jc w:val="both"/>
        <w:rPr>
          <w:rFonts w:ascii="Calibri" w:eastAsia="Calibri" w:hAnsi="Calibri" w:cs="Arial"/>
        </w:rPr>
      </w:pPr>
      <w:r w:rsidRPr="00C628D3">
        <w:rPr>
          <w:rFonts w:ascii="Calibri" w:eastAsia="Calibri" w:hAnsi="Calibri" w:cs="Arial"/>
        </w:rPr>
        <w:t xml:space="preserve">Εξαίρεση των πολύ μικρών επιχειρήσεων από τη σύνταξη φακέλου τεκμηρίωσης </w:t>
      </w:r>
      <w:proofErr w:type="spellStart"/>
      <w:r w:rsidRPr="00C628D3">
        <w:rPr>
          <w:rFonts w:ascii="Calibri" w:eastAsia="Calibri" w:hAnsi="Calibri" w:cs="Arial"/>
        </w:rPr>
        <w:t>ενδοομιλικών</w:t>
      </w:r>
      <w:proofErr w:type="spellEnd"/>
      <w:r w:rsidRPr="00C628D3">
        <w:rPr>
          <w:rFonts w:ascii="Calibri" w:eastAsia="Calibri" w:hAnsi="Calibri" w:cs="Arial"/>
        </w:rPr>
        <w:t xml:space="preserve"> συναλλαγών.</w:t>
      </w:r>
      <w:r>
        <w:rPr>
          <w:rFonts w:ascii="Calibri" w:eastAsia="Calibri" w:hAnsi="Calibri" w:cs="Arial"/>
        </w:rPr>
        <w:t xml:space="preserve"> </w:t>
      </w:r>
    </w:p>
    <w:p w:rsidR="005C6CE4" w:rsidRPr="002640D2" w:rsidRDefault="005C6CE4" w:rsidP="005C6CE4">
      <w:pPr>
        <w:pStyle w:val="a8"/>
        <w:numPr>
          <w:ilvl w:val="0"/>
          <w:numId w:val="35"/>
        </w:numPr>
        <w:spacing w:line="240" w:lineRule="auto"/>
        <w:ind w:left="426" w:hanging="426"/>
        <w:contextualSpacing w:val="0"/>
        <w:jc w:val="both"/>
        <w:rPr>
          <w:rFonts w:cs="Arial"/>
        </w:rPr>
      </w:pPr>
      <w:r w:rsidRPr="002640D2">
        <w:rPr>
          <w:rFonts w:cs="Arial"/>
        </w:rPr>
        <w:t>Κατάταξη των προσωρινών διαφορών λογιστικής – φορολογικής βάσης (όπως είναι οι μη καταβληθείσες ασφαλιστικές εισφορές και οι προβλέψεις) εκτός της Κατάστασης Φορολογικής Αναμόρφωσης</w:t>
      </w:r>
      <w:r>
        <w:rPr>
          <w:rFonts w:cs="Arial"/>
        </w:rPr>
        <w:t>.</w:t>
      </w:r>
    </w:p>
    <w:p w:rsidR="005C6CE4" w:rsidRPr="002640D2" w:rsidRDefault="005C6CE4" w:rsidP="005C6CE4">
      <w:pPr>
        <w:pStyle w:val="a8"/>
        <w:numPr>
          <w:ilvl w:val="0"/>
          <w:numId w:val="35"/>
        </w:numPr>
        <w:spacing w:line="240" w:lineRule="auto"/>
        <w:ind w:left="426" w:hanging="426"/>
        <w:contextualSpacing w:val="0"/>
        <w:jc w:val="both"/>
        <w:rPr>
          <w:rFonts w:cs="Arial"/>
        </w:rPr>
      </w:pPr>
      <w:r w:rsidRPr="002640D2">
        <w:rPr>
          <w:rFonts w:cs="Arial"/>
        </w:rPr>
        <w:t xml:space="preserve">Επανεξέταση της ΠΟΛ.1223/2015 που αναφέρει ότι </w:t>
      </w:r>
      <w:r w:rsidRPr="00B71DC1">
        <w:rPr>
          <w:rFonts w:cs="Arial"/>
          <w:i/>
        </w:rPr>
        <w:t xml:space="preserve">«…Όταν δεν έχει αποκτηθεί δικαίωμα είσπραξης για παροχή υπηρεσίας που διαρκεί πέραν του φορολογικού έτους, διότι δεν έχει </w:t>
      </w:r>
      <w:r w:rsidRPr="00B71DC1">
        <w:rPr>
          <w:rFonts w:cs="Arial"/>
          <w:i/>
        </w:rPr>
        <w:lastRenderedPageBreak/>
        <w:t xml:space="preserve">ολοκληρωθεί η παροχή του συνόλου ή μέρους της υπηρεσίας αυτής, με αποτέλεσμα να μην υπάρχει υποχρέωση έκδοσης του προβλεπόμενου παραστατικού (β΄ προϋπόθεση), το εισόδημα που καθίσταται λογιστικώς δεδουλευμένο δεν θεωρείται εισόδημα του φορολογικού έτους εντός του οποίου καθίσταται λογιστικώς δεδουλευμένο, αλλά του φορολογικού έτους εντός του οποίου ολοκληρώνεται το σύνολο ή μέρος της παροχής και υπάρχει υποχρέωση έκδοσης του σχετικού παραστατικού». </w:t>
      </w:r>
      <w:r w:rsidRPr="002640D2">
        <w:rPr>
          <w:rFonts w:cs="Arial"/>
        </w:rPr>
        <w:t>Βάσει αυτής της οπτικής καταργείται η βασική αρχή του δεδουλευμένου σε κάποιες περιπτώσεις για τη Φορολογία Εισοδήματος (και αντίθετα από την ΠΟΛ.1003/2014 που διατυπώνει σαφώς την ισχύ της στις ίδιες περιπτώσεις).</w:t>
      </w:r>
    </w:p>
    <w:p w:rsidR="005C6CE4" w:rsidRPr="002640D2" w:rsidRDefault="005C6CE4" w:rsidP="005C6CE4">
      <w:pPr>
        <w:pStyle w:val="a8"/>
        <w:numPr>
          <w:ilvl w:val="0"/>
          <w:numId w:val="35"/>
        </w:numPr>
        <w:spacing w:line="240" w:lineRule="auto"/>
        <w:ind w:left="426" w:hanging="426"/>
        <w:contextualSpacing w:val="0"/>
        <w:jc w:val="both"/>
        <w:rPr>
          <w:rFonts w:cs="Arial"/>
        </w:rPr>
      </w:pPr>
      <w:r w:rsidRPr="002640D2">
        <w:rPr>
          <w:rFonts w:cs="Arial"/>
        </w:rPr>
        <w:t>Σαφής διατύπωση του άρθρου 13 περί παροχών σε είδος, ιδιαίτερα για τα Ε.Ι.Χ. αυτοκίνητα, όπου το βασικό και υπέρτατο κριτήριο πρέπει να είναι η παραχώρηση αποκλειστικά για επαγγελματικούς σκοπούς, ανεξαρτήτως Λιανικής Τιμής Προ Φόρων.</w:t>
      </w:r>
    </w:p>
    <w:p w:rsidR="005C6CE4" w:rsidRPr="002640D2" w:rsidRDefault="005C6CE4" w:rsidP="005C6CE4">
      <w:pPr>
        <w:pStyle w:val="a8"/>
        <w:numPr>
          <w:ilvl w:val="0"/>
          <w:numId w:val="35"/>
        </w:numPr>
        <w:spacing w:line="240" w:lineRule="auto"/>
        <w:ind w:left="426" w:hanging="426"/>
        <w:contextualSpacing w:val="0"/>
        <w:jc w:val="both"/>
        <w:rPr>
          <w:rFonts w:cs="Arial"/>
        </w:rPr>
      </w:pPr>
      <w:r w:rsidRPr="002640D2">
        <w:rPr>
          <w:rFonts w:cs="Arial"/>
        </w:rPr>
        <w:t>Κατάργηση του «πόθεν έσχες» στην ίδρυση επιχειρήσεων, αγορά τίτλων και αύξηση κεφαλαίου με επιβολή φόρου 1% επί του καταβληθέντος κεφαλαίου από τον αγοραστή (εκτός του φόρου συγκέντρωσης κεφαλαίου).</w:t>
      </w:r>
    </w:p>
    <w:p w:rsidR="005C6CE4" w:rsidRPr="002640D2" w:rsidRDefault="005C6CE4" w:rsidP="005C6CE4">
      <w:pPr>
        <w:pStyle w:val="a8"/>
        <w:numPr>
          <w:ilvl w:val="0"/>
          <w:numId w:val="35"/>
        </w:numPr>
        <w:spacing w:line="240" w:lineRule="auto"/>
        <w:ind w:left="426" w:hanging="426"/>
        <w:contextualSpacing w:val="0"/>
        <w:jc w:val="both"/>
        <w:rPr>
          <w:rFonts w:cs="Arial"/>
        </w:rPr>
      </w:pPr>
      <w:r w:rsidRPr="002640D2">
        <w:rPr>
          <w:rFonts w:cs="Arial"/>
        </w:rPr>
        <w:t>Αναδιατύπωση για την αναγνώριση δαπανών από κράτη με προνομιακό φορολογικό καθεστώς με σαφή κριτήρια έκπτωσης και το βάρος απόδειξης να ανήκει στον ελεγκτή, όχι στον ελεγχόμενο.</w:t>
      </w:r>
    </w:p>
    <w:p w:rsidR="005C6CE4" w:rsidRPr="002640D2" w:rsidRDefault="005C6CE4" w:rsidP="005C6CE4">
      <w:pPr>
        <w:pStyle w:val="a8"/>
        <w:numPr>
          <w:ilvl w:val="0"/>
          <w:numId w:val="35"/>
        </w:numPr>
        <w:spacing w:line="240" w:lineRule="auto"/>
        <w:ind w:left="426" w:hanging="426"/>
        <w:contextualSpacing w:val="0"/>
        <w:jc w:val="both"/>
        <w:rPr>
          <w:rFonts w:cs="Arial"/>
        </w:rPr>
      </w:pPr>
      <w:r w:rsidRPr="002640D2">
        <w:rPr>
          <w:rFonts w:cs="Arial"/>
        </w:rPr>
        <w:t>Να διαγραφεί ο όρος «τεχνικά έργα» από το πρώτο εδάφιο της παρ. 1 του άρθρου 64 του Ν.4172/2013, καθώς αναφέρεται σε παρακράτηση φόρου 20%, ενώ στο δεύτερο εδάφιο της ίδιας διάταξης αναφέρεται σαφώς σε παρακράτηση φόρου 3%.</w:t>
      </w:r>
    </w:p>
    <w:p w:rsidR="005C6CE4" w:rsidRDefault="005C6CE4" w:rsidP="005C6CE4">
      <w:pPr>
        <w:pStyle w:val="a8"/>
        <w:numPr>
          <w:ilvl w:val="0"/>
          <w:numId w:val="35"/>
        </w:numPr>
        <w:spacing w:line="240" w:lineRule="auto"/>
        <w:ind w:left="426" w:hanging="426"/>
        <w:contextualSpacing w:val="0"/>
        <w:jc w:val="both"/>
        <w:rPr>
          <w:rFonts w:cs="Arial"/>
        </w:rPr>
      </w:pPr>
      <w:r w:rsidRPr="002640D2">
        <w:rPr>
          <w:rFonts w:cs="Arial"/>
        </w:rPr>
        <w:t>Να βελτιωθεί η διατύπωση στην παρ. 1 του άρθρου 21 περί κερδών από επιχειρηματική δραστηριότητα που αναφέρει</w:t>
      </w:r>
      <w:r>
        <w:rPr>
          <w:rFonts w:cs="Arial"/>
        </w:rPr>
        <w:t xml:space="preserve"> ότι: </w:t>
      </w:r>
      <w:r w:rsidRPr="00B71DC1">
        <w:rPr>
          <w:rFonts w:cs="Arial"/>
          <w:i/>
        </w:rPr>
        <w:t>«Στα έσοδα από τις επιχειρηματικές συναλλαγές περιλαμβάνονται και τα έσοδα από την πώληση των στοιχείων του ενεργητικού της επιχείρησης, καθώς και το προϊόν της εκκαθάρισής της, όπως αυτά προκύπτουν στη διάρκεια του φορολογικού έτους».</w:t>
      </w:r>
    </w:p>
    <w:p w:rsidR="005C6CE4" w:rsidRPr="00443F80" w:rsidRDefault="005C6CE4" w:rsidP="005C6CE4">
      <w:pPr>
        <w:pStyle w:val="a8"/>
        <w:numPr>
          <w:ilvl w:val="0"/>
          <w:numId w:val="35"/>
        </w:numPr>
        <w:spacing w:line="240" w:lineRule="auto"/>
        <w:ind w:left="426" w:hanging="426"/>
        <w:contextualSpacing w:val="0"/>
        <w:jc w:val="both"/>
        <w:rPr>
          <w:rFonts w:cs="Arial"/>
        </w:rPr>
      </w:pPr>
      <w:r w:rsidRPr="00443F80">
        <w:rPr>
          <w:rFonts w:cs="Arial"/>
        </w:rPr>
        <w:t xml:space="preserve">Επέκταση του χρόνου μεταφοράς ζημιών των επιχειρήσεων σε 15 έτη: </w:t>
      </w:r>
      <w:r>
        <w:rPr>
          <w:rFonts w:cs="Arial"/>
        </w:rPr>
        <w:t>μ</w:t>
      </w:r>
      <w:r w:rsidRPr="00443F80">
        <w:rPr>
          <w:rFonts w:cs="Arial"/>
        </w:rPr>
        <w:t xml:space="preserve">ετά από οκτώ συνεχή έτη συρρίκνωσης της οικονομικής δραστηριότητας και δραματικής μείωσης του ΑΕΠ της χώρας, </w:t>
      </w:r>
      <w:r>
        <w:rPr>
          <w:rFonts w:cs="Arial"/>
        </w:rPr>
        <w:t xml:space="preserve">προτείνουμε να </w:t>
      </w:r>
      <w:r w:rsidRPr="00443F80">
        <w:rPr>
          <w:rFonts w:cs="Arial"/>
        </w:rPr>
        <w:t xml:space="preserve">επεκταθεί, χρονικά, το δικαίωμα των επιχειρήσεων να συμψηφίζουν ζημίες από τα πέντε (5) έτη που ισχύει σήμερα, στα δεκαπέντε (15) έτη. </w:t>
      </w:r>
    </w:p>
    <w:p w:rsidR="005C6CE4" w:rsidRDefault="005C6CE4" w:rsidP="005C6CE4">
      <w:pPr>
        <w:jc w:val="both"/>
        <w:rPr>
          <w:rFonts w:cs="Arial"/>
        </w:rPr>
      </w:pPr>
    </w:p>
    <w:p w:rsidR="005C6CE4" w:rsidRDefault="005C6CE4" w:rsidP="005C6CE4">
      <w:pPr>
        <w:jc w:val="center"/>
        <w:rPr>
          <w:rFonts w:ascii="Calibri" w:eastAsia="Calibri" w:hAnsi="Calibri"/>
          <w:b/>
          <w:sz w:val="28"/>
          <w:szCs w:val="28"/>
        </w:rPr>
      </w:pPr>
      <w:r w:rsidRPr="00E940F3">
        <w:rPr>
          <w:rFonts w:ascii="Calibri" w:eastAsia="Calibri" w:hAnsi="Calibri"/>
          <w:b/>
          <w:sz w:val="28"/>
          <w:szCs w:val="28"/>
        </w:rPr>
        <w:t xml:space="preserve">Παρατηρήσεις στα μέτρα διασφάλισης και αλληλέγγυας ευθύνης </w:t>
      </w:r>
      <w:r w:rsidR="00607E44">
        <w:rPr>
          <w:rFonts w:ascii="Calibri" w:eastAsia="Calibri" w:hAnsi="Calibri"/>
          <w:b/>
          <w:sz w:val="28"/>
          <w:szCs w:val="28"/>
        </w:rPr>
        <w:br/>
      </w:r>
      <w:r w:rsidRPr="00E940F3">
        <w:rPr>
          <w:rFonts w:ascii="Calibri" w:eastAsia="Calibri" w:hAnsi="Calibri"/>
          <w:b/>
          <w:sz w:val="28"/>
          <w:szCs w:val="28"/>
        </w:rPr>
        <w:t>του Κώδικα Φορολογικής Διαδικασίας</w:t>
      </w:r>
    </w:p>
    <w:p w:rsidR="005C6CE4" w:rsidRDefault="005C6CE4" w:rsidP="005C6CE4">
      <w:pPr>
        <w:jc w:val="center"/>
        <w:rPr>
          <w:rFonts w:ascii="Calibri" w:eastAsia="Calibri" w:hAnsi="Calibri"/>
          <w:b/>
          <w:sz w:val="28"/>
          <w:szCs w:val="28"/>
        </w:rPr>
      </w:pPr>
    </w:p>
    <w:p w:rsidR="005C6CE4" w:rsidRPr="00E940F3" w:rsidRDefault="005C6CE4" w:rsidP="005C6CE4">
      <w:pPr>
        <w:ind w:left="426" w:right="56" w:hanging="426"/>
        <w:jc w:val="both"/>
        <w:rPr>
          <w:rFonts w:ascii="Calibri" w:eastAsia="Calibri" w:hAnsi="Calibri" w:cs="Arial"/>
          <w:b/>
        </w:rPr>
      </w:pPr>
      <w:r w:rsidRPr="00E940F3">
        <w:rPr>
          <w:rFonts w:ascii="Calibri" w:eastAsia="Calibri" w:hAnsi="Calibri" w:cs="Arial"/>
          <w:b/>
        </w:rPr>
        <w:t>Α. Μέτρα διασφάλισης μετά την λήξη της προθεσμίας για απόφαση σε ενδικοφανή προσφυγή</w:t>
      </w:r>
      <w:r>
        <w:rPr>
          <w:rFonts w:ascii="Calibri" w:eastAsia="Calibri" w:hAnsi="Calibri" w:cs="Arial"/>
          <w:b/>
        </w:rPr>
        <w:t xml:space="preserve">. </w:t>
      </w:r>
    </w:p>
    <w:p w:rsidR="005C6CE4" w:rsidRPr="00E940F3" w:rsidRDefault="005C6CE4" w:rsidP="005C6CE4">
      <w:pPr>
        <w:ind w:right="56"/>
        <w:jc w:val="both"/>
        <w:rPr>
          <w:rFonts w:ascii="Calibri" w:eastAsia="Calibri" w:hAnsi="Calibri" w:cs="Arial"/>
        </w:rPr>
      </w:pPr>
      <w:r>
        <w:rPr>
          <w:rFonts w:ascii="Calibri" w:eastAsia="Calibri" w:hAnsi="Calibri" w:cs="Arial"/>
        </w:rPr>
        <w:t>Προτείνεται τ</w:t>
      </w:r>
      <w:r w:rsidRPr="00E940F3">
        <w:rPr>
          <w:rFonts w:ascii="Calibri" w:eastAsia="Calibri" w:hAnsi="Calibri" w:cs="Arial"/>
        </w:rPr>
        <w:t>α μέτρα της παραγράφου 5 του άρθρου 46 του Κώδικα Φορολογικής Διαδικασίας να ισχύουν μόνο μετά την παρέλευση της προθεσμίας ενδικοφανούς προσφυγής. Άλλωστε, υπάρχουν για τις ειδικές περιπτώσεις τα μέτρα του άρθρου 49 για την περίπτωση υπόνοιας καταδολίευσης που δίνουν την δυνατότητα στην φορολογική διοίκηση να πράξει δέσμευση με διαδικασία κατεπείγοντος στις περιπτώσεις που το επιθυμεί.</w:t>
      </w:r>
    </w:p>
    <w:p w:rsidR="005C6CE4" w:rsidRDefault="005C6CE4" w:rsidP="005C6CE4">
      <w:pPr>
        <w:ind w:left="426" w:right="56" w:hanging="426"/>
        <w:jc w:val="both"/>
        <w:rPr>
          <w:rFonts w:cs="Arial"/>
          <w:b/>
          <w:sz w:val="24"/>
        </w:rPr>
      </w:pPr>
      <w:r w:rsidRPr="00E940F3">
        <w:rPr>
          <w:rFonts w:ascii="Calibri" w:eastAsia="Calibri" w:hAnsi="Calibri" w:cs="Arial"/>
          <w:b/>
        </w:rPr>
        <w:t>Β. Ευθύνη εκκαθαριστών νομικών προσώπων</w:t>
      </w:r>
    </w:p>
    <w:p w:rsidR="005C6CE4" w:rsidRPr="00E940F3" w:rsidRDefault="005C6CE4" w:rsidP="005C6CE4">
      <w:pPr>
        <w:ind w:right="56"/>
        <w:jc w:val="both"/>
        <w:rPr>
          <w:rFonts w:ascii="Calibri" w:eastAsia="Calibri" w:hAnsi="Calibri" w:cs="Arial"/>
        </w:rPr>
      </w:pPr>
      <w:r>
        <w:rPr>
          <w:rFonts w:ascii="Calibri" w:eastAsia="Calibri" w:hAnsi="Calibri" w:cs="Arial"/>
        </w:rPr>
        <w:t xml:space="preserve">Απαιτείται </w:t>
      </w:r>
      <w:r w:rsidRPr="00E940F3">
        <w:rPr>
          <w:rFonts w:ascii="Calibri" w:eastAsia="Calibri" w:hAnsi="Calibri" w:cs="Arial"/>
        </w:rPr>
        <w:t xml:space="preserve">να </w:t>
      </w:r>
      <w:r>
        <w:rPr>
          <w:rFonts w:ascii="Calibri" w:eastAsia="Calibri" w:hAnsi="Calibri" w:cs="Arial"/>
        </w:rPr>
        <w:t xml:space="preserve">υπάρξουν σχετικές διευκρινίσεις για </w:t>
      </w:r>
      <w:r w:rsidRPr="00E940F3">
        <w:rPr>
          <w:rFonts w:ascii="Calibri" w:eastAsia="Calibri" w:hAnsi="Calibri" w:cs="Arial"/>
        </w:rPr>
        <w:t>το καθεστώς ευθύνης των εκκαθαριστών. Είναι άλογη η αναφορά στο άρθρο 50 του Κώδικα Φορολογικής Διαδικασίας, οι εκκαθαριστές των νομικών προσώπων να ευθύνονται για πράξεις και χρέη ανεξάρτητα από το χρόνο βεβαίωσής τους.</w:t>
      </w:r>
      <w:r>
        <w:rPr>
          <w:rFonts w:ascii="Calibri" w:eastAsia="Calibri" w:hAnsi="Calibri" w:cs="Arial"/>
        </w:rPr>
        <w:t xml:space="preserve"> </w:t>
      </w:r>
    </w:p>
    <w:p w:rsidR="001B2AC1" w:rsidRDefault="001B2AC1" w:rsidP="005C6CE4">
      <w:pPr>
        <w:ind w:left="720" w:hanging="720"/>
        <w:jc w:val="both"/>
        <w:rPr>
          <w:rFonts w:ascii="Calibri" w:eastAsia="Calibri" w:hAnsi="Calibri"/>
          <w:b/>
          <w:color w:val="1F3864"/>
          <w:sz w:val="28"/>
          <w:szCs w:val="32"/>
        </w:rPr>
      </w:pPr>
    </w:p>
    <w:p w:rsidR="001B2AC1" w:rsidRDefault="001B2AC1">
      <w:pPr>
        <w:rPr>
          <w:rFonts w:ascii="Calibri" w:eastAsia="Calibri" w:hAnsi="Calibri"/>
          <w:b/>
          <w:color w:val="1F3864"/>
          <w:sz w:val="28"/>
          <w:szCs w:val="32"/>
        </w:rPr>
      </w:pPr>
      <w:r>
        <w:rPr>
          <w:rFonts w:ascii="Calibri" w:eastAsia="Calibri" w:hAnsi="Calibri"/>
          <w:b/>
          <w:color w:val="1F3864"/>
          <w:sz w:val="28"/>
          <w:szCs w:val="32"/>
        </w:rPr>
        <w:br w:type="page"/>
      </w:r>
    </w:p>
    <w:p w:rsidR="005C6CE4" w:rsidRDefault="005C6CE4" w:rsidP="005C6CE4">
      <w:pPr>
        <w:ind w:left="720" w:hanging="720"/>
        <w:jc w:val="both"/>
        <w:rPr>
          <w:rFonts w:ascii="Calibri" w:eastAsia="Calibri" w:hAnsi="Calibri"/>
          <w:b/>
          <w:color w:val="1F3864"/>
          <w:sz w:val="28"/>
          <w:szCs w:val="32"/>
        </w:rPr>
      </w:pPr>
      <w:r>
        <w:rPr>
          <w:rFonts w:ascii="Calibri" w:eastAsia="Calibri" w:hAnsi="Calibri"/>
          <w:b/>
          <w:color w:val="1F3864"/>
          <w:sz w:val="28"/>
          <w:szCs w:val="32"/>
        </w:rPr>
        <w:lastRenderedPageBreak/>
        <w:t>Β</w:t>
      </w:r>
      <w:r w:rsidRPr="00323253">
        <w:rPr>
          <w:rFonts w:ascii="Calibri" w:eastAsia="Calibri" w:hAnsi="Calibri"/>
          <w:b/>
          <w:color w:val="1F3864"/>
          <w:sz w:val="28"/>
          <w:szCs w:val="32"/>
        </w:rPr>
        <w:t>]</w:t>
      </w:r>
      <w:r w:rsidRPr="00323253">
        <w:rPr>
          <w:rFonts w:ascii="Calibri" w:eastAsia="Calibri" w:hAnsi="Calibri"/>
          <w:b/>
          <w:color w:val="1F3864"/>
          <w:sz w:val="28"/>
          <w:szCs w:val="32"/>
        </w:rPr>
        <w:tab/>
      </w:r>
      <w:r>
        <w:rPr>
          <w:rFonts w:ascii="Calibri" w:eastAsia="Calibri" w:hAnsi="Calibri"/>
          <w:b/>
          <w:color w:val="1F3864"/>
          <w:sz w:val="28"/>
          <w:szCs w:val="32"/>
        </w:rPr>
        <w:t>ΠΡΟΒΛΗΜΑΤΑ ΛΕΙΤΟΥΡΓΙΑΣ ΤΗΣ ΕΓΧΩΡΙΑΣ ΑΓΟΡΑΣ</w:t>
      </w:r>
    </w:p>
    <w:p w:rsidR="005C6CE4" w:rsidRDefault="005C6CE4" w:rsidP="005C6CE4">
      <w:pPr>
        <w:jc w:val="both"/>
        <w:rPr>
          <w:rFonts w:ascii="Calibri" w:hAnsi="Calibri"/>
        </w:rPr>
      </w:pPr>
    </w:p>
    <w:p w:rsidR="005C6CE4" w:rsidRPr="00281609" w:rsidRDefault="005C6CE4" w:rsidP="005C6CE4">
      <w:pPr>
        <w:jc w:val="center"/>
        <w:rPr>
          <w:rFonts w:ascii="Calibri" w:hAnsi="Calibri"/>
          <w:b/>
          <w:sz w:val="28"/>
          <w:szCs w:val="28"/>
        </w:rPr>
      </w:pPr>
      <w:r w:rsidRPr="00281609">
        <w:rPr>
          <w:rFonts w:ascii="Calibri" w:hAnsi="Calibri"/>
          <w:b/>
          <w:sz w:val="28"/>
          <w:szCs w:val="28"/>
        </w:rPr>
        <w:t xml:space="preserve">Εξυγίανση σχέσεων βιομηχανίας και αλυσίδων λιανεμπορίου - </w:t>
      </w:r>
      <w:r w:rsidRPr="00281609">
        <w:rPr>
          <w:rFonts w:ascii="Calibri" w:hAnsi="Calibri"/>
          <w:b/>
          <w:sz w:val="28"/>
          <w:szCs w:val="28"/>
        </w:rPr>
        <w:br/>
        <w:t>Καθαρές τιμές</w:t>
      </w:r>
    </w:p>
    <w:p w:rsidR="005C6CE4" w:rsidRPr="00281609" w:rsidRDefault="005C6CE4" w:rsidP="005C6CE4">
      <w:pPr>
        <w:jc w:val="both"/>
        <w:rPr>
          <w:rFonts w:ascii="Calibri" w:hAnsi="Calibri"/>
        </w:rPr>
      </w:pPr>
      <w:r w:rsidRPr="00281609">
        <w:rPr>
          <w:rFonts w:ascii="Calibri" w:hAnsi="Calibri"/>
        </w:rPr>
        <w:t>Σήμερα, οι καταναλωτές πληρώνουν στις αλυσίδες λιανικού εμπορίου, κυρίως τα Ελληνικά προϊόντα, σε τιμές πολύ υψηλότερες από τις κανονικές. Αυτό συμβαίνει λόγω της στρέβλωσης που δημιουργείται, λόγω της χρέωσης από τις αλυσίδες λιανικού εμπορίου στις τιμές των προϊόντων, το σύνολο του πρόσθετου κόστους, όπως παρεχόμενες υπηρεσίες, προωθητικές ενέργειες, εκπτώσεις, κλπ..</w:t>
      </w:r>
    </w:p>
    <w:p w:rsidR="005C6CE4" w:rsidRPr="00281609" w:rsidRDefault="005C6CE4" w:rsidP="005C6CE4">
      <w:pPr>
        <w:jc w:val="both"/>
        <w:rPr>
          <w:rFonts w:ascii="Calibri" w:hAnsi="Calibri"/>
        </w:rPr>
      </w:pPr>
      <w:r w:rsidRPr="00281609">
        <w:rPr>
          <w:rFonts w:ascii="Calibri" w:hAnsi="Calibri"/>
        </w:rPr>
        <w:t>Ο ΣΒΒΕ προτείνει να θεσπιστεί νομοθετικά η αναγραφή της καθαρής (</w:t>
      </w:r>
      <w:r w:rsidRPr="00281609">
        <w:rPr>
          <w:rFonts w:ascii="Calibri" w:hAnsi="Calibri"/>
          <w:lang w:val="en-US"/>
        </w:rPr>
        <w:t>net</w:t>
      </w:r>
      <w:r w:rsidRPr="00281609">
        <w:rPr>
          <w:rFonts w:ascii="Calibri" w:hAnsi="Calibri"/>
        </w:rPr>
        <w:t xml:space="preserve">) τιμής του προϊόντος στο τιμολόγιο και ν’ αναγράφονται ξεχωριστά το σύνολο του πρόσθετου κόστους. Υπογραμμίζουμε ότι σύμφωνα με εκτιμήσεις του ΣΒΒΕ, το επιβαλλόμενο πρόσθετο κόστος, κυρίως στην Ελληνική μικρομεσαία επιχείρηση, ανέρχεται σε ποσοστό από 35% έως και 60% επί της καθαρής τιμής πώλησης ενός προϊόντος. </w:t>
      </w:r>
    </w:p>
    <w:p w:rsidR="005C6CE4" w:rsidRPr="00281609" w:rsidRDefault="005C6CE4" w:rsidP="005C6CE4">
      <w:pPr>
        <w:jc w:val="both"/>
        <w:rPr>
          <w:rFonts w:ascii="Calibri" w:hAnsi="Calibri"/>
        </w:rPr>
      </w:pPr>
    </w:p>
    <w:p w:rsidR="005C6CE4" w:rsidRPr="00281609" w:rsidRDefault="005C6CE4" w:rsidP="005C6CE4">
      <w:pPr>
        <w:jc w:val="center"/>
        <w:rPr>
          <w:rFonts w:ascii="Calibri" w:hAnsi="Calibri"/>
          <w:sz w:val="28"/>
          <w:szCs w:val="28"/>
        </w:rPr>
      </w:pPr>
      <w:r w:rsidRPr="00281609">
        <w:rPr>
          <w:rFonts w:ascii="Calibri" w:hAnsi="Calibri"/>
          <w:b/>
          <w:sz w:val="28"/>
          <w:szCs w:val="28"/>
        </w:rPr>
        <w:t>Καθυστερήσεις πληρωμών</w:t>
      </w:r>
    </w:p>
    <w:p w:rsidR="005C6CE4" w:rsidRPr="00281609" w:rsidRDefault="005C6CE4" w:rsidP="005C6CE4">
      <w:pPr>
        <w:jc w:val="both"/>
        <w:rPr>
          <w:rFonts w:ascii="Calibri" w:hAnsi="Calibri"/>
        </w:rPr>
      </w:pPr>
      <w:r w:rsidRPr="00281609">
        <w:rPr>
          <w:rFonts w:ascii="Calibri" w:hAnsi="Calibri"/>
        </w:rPr>
        <w:t xml:space="preserve">Το φαινόμενο των καθυστερήσεων πληρωμών, αποτελεί μια διαχρονική παθογένεια του ελληνικού εμπορικού κυκλώματος, η οποία έχει λειτουργήσει διαχρονικά σε βάρος των μεταποιητικών επιχειρήσεων. Για την άρση της συγκεκριμένης στρέβλωσης στην εγχώρια αγορά, προτείνεται η θέσπιση συγκεκριμένων κανόνων με στόχο την </w:t>
      </w:r>
      <w:r w:rsidRPr="00281609">
        <w:rPr>
          <w:rFonts w:ascii="Calibri" w:hAnsi="Calibri"/>
          <w:bCs/>
        </w:rPr>
        <w:t xml:space="preserve">εξυγίανσή της </w:t>
      </w:r>
      <w:r w:rsidRPr="00281609">
        <w:rPr>
          <w:rFonts w:ascii="Calibri" w:hAnsi="Calibri"/>
        </w:rPr>
        <w:t xml:space="preserve">και τον </w:t>
      </w:r>
      <w:r w:rsidRPr="00281609">
        <w:rPr>
          <w:rFonts w:ascii="Calibri" w:hAnsi="Calibri"/>
          <w:bCs/>
        </w:rPr>
        <w:t>εξορθολογισμό</w:t>
      </w:r>
      <w:r w:rsidRPr="00281609">
        <w:rPr>
          <w:rFonts w:ascii="Calibri" w:hAnsi="Calibri"/>
        </w:rPr>
        <w:t xml:space="preserve"> της συγκεκριμένης πρακτικής, σύμφωνα με τα όσα ισχύουν σε άλλες χώρες της Ευρώπης. Συγκεκριμένα, προτείνεται να π</w:t>
      </w:r>
      <w:r w:rsidRPr="00281609">
        <w:rPr>
          <w:rFonts w:ascii="Calibri" w:hAnsi="Calibri"/>
          <w:bCs/>
        </w:rPr>
        <w:t>ροσδιορισθεί νομοθετικά</w:t>
      </w:r>
      <w:r w:rsidRPr="00281609">
        <w:rPr>
          <w:rFonts w:ascii="Calibri" w:hAnsi="Calibri"/>
        </w:rPr>
        <w:t xml:space="preserve"> το ανώτερο όριο ημερών πληρωμής, που δεν θα πρέπει να υπερβαίνει τις 60 ημέρες, και να προβλέπονται συγκεκριμένες κυρώσεις σε περίπτωση μη τήρησης των ορίων αυτών. </w:t>
      </w:r>
    </w:p>
    <w:p w:rsidR="005C6CE4" w:rsidRDefault="005C6CE4" w:rsidP="005C6CE4">
      <w:pPr>
        <w:jc w:val="both"/>
        <w:rPr>
          <w:rFonts w:ascii="Calibri" w:eastAsia="Calibri" w:hAnsi="Calibri"/>
        </w:rPr>
      </w:pPr>
    </w:p>
    <w:p w:rsidR="001B2AC1" w:rsidRDefault="001B2AC1" w:rsidP="005C6CE4">
      <w:pPr>
        <w:ind w:left="720" w:hanging="720"/>
        <w:jc w:val="both"/>
        <w:rPr>
          <w:rFonts w:ascii="Calibri" w:eastAsia="Calibri" w:hAnsi="Calibri"/>
          <w:b/>
          <w:color w:val="1F3864"/>
          <w:sz w:val="28"/>
          <w:szCs w:val="32"/>
        </w:rPr>
      </w:pPr>
    </w:p>
    <w:p w:rsidR="005C6CE4" w:rsidRDefault="005C6CE4" w:rsidP="005C6CE4">
      <w:pPr>
        <w:ind w:left="720" w:hanging="720"/>
        <w:jc w:val="both"/>
        <w:rPr>
          <w:rFonts w:ascii="Calibri" w:eastAsia="Calibri" w:hAnsi="Calibri"/>
          <w:b/>
          <w:color w:val="1F3864"/>
          <w:sz w:val="28"/>
          <w:szCs w:val="32"/>
        </w:rPr>
      </w:pPr>
      <w:r>
        <w:rPr>
          <w:rFonts w:ascii="Calibri" w:eastAsia="Calibri" w:hAnsi="Calibri"/>
          <w:b/>
          <w:color w:val="1F3864"/>
          <w:sz w:val="28"/>
          <w:szCs w:val="32"/>
        </w:rPr>
        <w:t>Γ</w:t>
      </w:r>
      <w:r w:rsidRPr="00323253">
        <w:rPr>
          <w:rFonts w:ascii="Calibri" w:eastAsia="Calibri" w:hAnsi="Calibri"/>
          <w:b/>
          <w:color w:val="1F3864"/>
          <w:sz w:val="28"/>
          <w:szCs w:val="32"/>
        </w:rPr>
        <w:t>]</w:t>
      </w:r>
      <w:r w:rsidRPr="00323253">
        <w:rPr>
          <w:rFonts w:ascii="Calibri" w:eastAsia="Calibri" w:hAnsi="Calibri"/>
          <w:b/>
          <w:color w:val="1F3864"/>
          <w:sz w:val="28"/>
          <w:szCs w:val="32"/>
        </w:rPr>
        <w:tab/>
      </w:r>
      <w:r>
        <w:rPr>
          <w:rFonts w:ascii="Calibri" w:eastAsia="Calibri" w:hAnsi="Calibri"/>
          <w:b/>
          <w:color w:val="1F3864"/>
          <w:sz w:val="28"/>
          <w:szCs w:val="32"/>
        </w:rPr>
        <w:t>ΧΩΡΟΤΑΞΙΚΑ ΠΡΟΒΛΗΜΑΤΑ</w:t>
      </w:r>
    </w:p>
    <w:p w:rsidR="005C6CE4" w:rsidRPr="00281609" w:rsidRDefault="005C6CE4" w:rsidP="005C6CE4">
      <w:pPr>
        <w:jc w:val="both"/>
        <w:rPr>
          <w:rFonts w:ascii="Calibri" w:eastAsia="Calibri" w:hAnsi="Calibri"/>
        </w:rPr>
      </w:pPr>
    </w:p>
    <w:p w:rsidR="005C6CE4" w:rsidRPr="00281609" w:rsidRDefault="005C6CE4" w:rsidP="005C6CE4">
      <w:pPr>
        <w:jc w:val="center"/>
        <w:rPr>
          <w:rFonts w:ascii="Calibri" w:eastAsia="Calibri" w:hAnsi="Calibri"/>
          <w:sz w:val="28"/>
          <w:szCs w:val="28"/>
        </w:rPr>
      </w:pPr>
      <w:r w:rsidRPr="00281609">
        <w:rPr>
          <w:rFonts w:ascii="Calibri" w:eastAsia="Calibri" w:hAnsi="Calibri"/>
          <w:b/>
          <w:sz w:val="28"/>
          <w:szCs w:val="28"/>
        </w:rPr>
        <w:t>Νομιμοποίηση αυθαιρέτων της βιομηχανίας</w:t>
      </w:r>
    </w:p>
    <w:p w:rsidR="005C6CE4" w:rsidRPr="00281609" w:rsidRDefault="005C6CE4" w:rsidP="005C6CE4">
      <w:pPr>
        <w:jc w:val="both"/>
        <w:rPr>
          <w:rFonts w:ascii="Calibri" w:eastAsia="Calibri" w:hAnsi="Calibri"/>
        </w:rPr>
      </w:pPr>
      <w:r w:rsidRPr="00281609">
        <w:rPr>
          <w:rFonts w:ascii="Calibri" w:eastAsia="Calibri" w:hAnsi="Calibri"/>
        </w:rPr>
        <w:t>Οι τρέχουσες οικονομικές συνθήκες επιβάλλουν την ανάγκη επικαιροποίησης του Ν. 3325/2005, ο οποίος βασίζεται στην αρχή της αειφόρου ανάπτυξης, με την υιοθέτηση νέων διατάξεων, ώστε να καταστεί εφικτή τόσο η επέκταση βιομηχανικών εγκαταστάσεων, οι οποίες υποχρεωτικά πρέπει να ανεγερθούν σε συνέχεια υπαρχόντων, όσο και η τακτοποίηση αυθαιρέτων κτισμάτων σε βιομηχανικές μονάδες εντός οριοθετημένων Βιομηχανικών Περιοχών.</w:t>
      </w:r>
    </w:p>
    <w:p w:rsidR="005C6CE4" w:rsidRPr="00281609" w:rsidRDefault="005C6CE4" w:rsidP="005C6CE4">
      <w:pPr>
        <w:jc w:val="both"/>
        <w:rPr>
          <w:rFonts w:ascii="Calibri" w:eastAsia="Calibri" w:hAnsi="Calibri"/>
        </w:rPr>
      </w:pPr>
      <w:r w:rsidRPr="00281609">
        <w:rPr>
          <w:rFonts w:ascii="Calibri" w:eastAsia="Calibri" w:hAnsi="Calibri"/>
        </w:rPr>
        <w:t>Βεβαίως, με τον Ν. 4178/2013 δόθηκε η δυνατότητα τακτοποίησης αυθαίρετων κατασκευών ή αυθαίρετων αλλαγών χρήσεων για χρονικό διάστημα 30 ετών, δίχως όμως να ληφθεί υπόψη η ιδιαιτερότητα της βιομηχανίας. Προκειμένου ένας νέος Νόμος να αποτελέσει εργαλείο τόνωσης της επιχειρηματικότητας και όχι τροχοπέδη της ανάπτυξης, θα πρέπει να συμπεριληφθούν σ΄ αυτόν σημεία και διατάξεις που αφορούν αποκλειστικά βιομηχανικές μονάδες εντός οριοθετημένων Βιομηχανικών Περιοχών, επιτρεπόμενες παρεκκλίσεις όπως η μεταφορά συντελεστή δόμησης/κάλυψης/όγκου μεταξύ γηπέδων ευρισκομένων εντός ΒΙΠΕ, η αύξηση του συντελεστή κάλυψης και του συντελεστή δόμησης, η εξαίρεση από συντελεστές κάλυψης και δόμησης εγκαταστάσεων όπως: μηχανολογικός εξοπλισμός στον αύλειο χώρο, δεξαμενές, υπόστεγα, φυλάκια, κλπ..</w:t>
      </w:r>
    </w:p>
    <w:p w:rsidR="005C6CE4" w:rsidRPr="00281609" w:rsidRDefault="005C6CE4" w:rsidP="005C6CE4">
      <w:pPr>
        <w:jc w:val="both"/>
        <w:rPr>
          <w:rFonts w:ascii="Calibri" w:eastAsia="Calibri" w:hAnsi="Calibri"/>
        </w:rPr>
      </w:pPr>
    </w:p>
    <w:p w:rsidR="005C6CE4" w:rsidRPr="00281609" w:rsidRDefault="005C6CE4" w:rsidP="005C6CE4">
      <w:pPr>
        <w:rPr>
          <w:rFonts w:ascii="Calibri" w:eastAsia="Calibri" w:hAnsi="Calibri"/>
        </w:rPr>
      </w:pPr>
    </w:p>
    <w:p w:rsidR="005C6CE4" w:rsidRPr="00EE5AAF" w:rsidRDefault="005C6CE4" w:rsidP="00BA0628">
      <w:pPr>
        <w:spacing w:before="120" w:after="120"/>
        <w:jc w:val="both"/>
        <w:rPr>
          <w:rFonts w:asciiTheme="minorHAnsi" w:hAnsiTheme="minorHAnsi" w:cstheme="minorHAnsi"/>
        </w:rPr>
      </w:pPr>
    </w:p>
    <w:sectPr w:rsidR="005C6CE4" w:rsidRPr="00EE5AAF" w:rsidSect="004E0A06">
      <w:headerReference w:type="default" r:id="rId16"/>
      <w:footerReference w:type="default" r:id="rId17"/>
      <w:headerReference w:type="first" r:id="rId18"/>
      <w:footerReference w:type="first" r:id="rId19"/>
      <w:pgSz w:w="11906" w:h="16838" w:code="9"/>
      <w:pgMar w:top="1985" w:right="1418" w:bottom="1135" w:left="1418" w:header="578" w:footer="3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CA7" w:rsidRDefault="00A13CA7">
      <w:r>
        <w:separator/>
      </w:r>
    </w:p>
  </w:endnote>
  <w:endnote w:type="continuationSeparator" w:id="0">
    <w:p w:rsidR="00A13CA7" w:rsidRDefault="00A1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2117399"/>
      <w:docPartObj>
        <w:docPartGallery w:val="Page Numbers (Bottom of Page)"/>
        <w:docPartUnique/>
      </w:docPartObj>
    </w:sdtPr>
    <w:sdtEndPr>
      <w:rPr>
        <w:rFonts w:asciiTheme="minorHAnsi" w:hAnsiTheme="minorHAnsi" w:cstheme="minorHAnsi"/>
        <w:b/>
        <w:sz w:val="20"/>
      </w:rPr>
    </w:sdtEndPr>
    <w:sdtContent>
      <w:p w:rsidR="00A13CA7" w:rsidRPr="006E49DF" w:rsidRDefault="00A13CA7">
        <w:pPr>
          <w:pStyle w:val="a4"/>
          <w:jc w:val="right"/>
          <w:rPr>
            <w:rFonts w:asciiTheme="minorHAnsi" w:hAnsiTheme="minorHAnsi" w:cstheme="minorHAnsi"/>
            <w:b/>
            <w:sz w:val="20"/>
          </w:rPr>
        </w:pPr>
        <w:r w:rsidRPr="006E49DF">
          <w:rPr>
            <w:rFonts w:asciiTheme="minorHAnsi" w:hAnsiTheme="minorHAnsi" w:cstheme="minorHAnsi"/>
            <w:b/>
            <w:sz w:val="20"/>
          </w:rPr>
          <w:fldChar w:fldCharType="begin"/>
        </w:r>
        <w:r w:rsidRPr="006E49DF">
          <w:rPr>
            <w:rFonts w:asciiTheme="minorHAnsi" w:hAnsiTheme="minorHAnsi" w:cstheme="minorHAnsi"/>
            <w:b/>
            <w:sz w:val="20"/>
          </w:rPr>
          <w:instrText>PAGE   \* MERGEFORMAT</w:instrText>
        </w:r>
        <w:r w:rsidRPr="006E49DF">
          <w:rPr>
            <w:rFonts w:asciiTheme="minorHAnsi" w:hAnsiTheme="minorHAnsi" w:cstheme="minorHAnsi"/>
            <w:b/>
            <w:sz w:val="20"/>
          </w:rPr>
          <w:fldChar w:fldCharType="separate"/>
        </w:r>
        <w:r w:rsidR="00A70D77">
          <w:rPr>
            <w:rFonts w:asciiTheme="minorHAnsi" w:hAnsiTheme="minorHAnsi" w:cstheme="minorHAnsi"/>
            <w:b/>
            <w:noProof/>
            <w:sz w:val="20"/>
          </w:rPr>
          <w:t>18</w:t>
        </w:r>
        <w:r w:rsidRPr="006E49DF">
          <w:rPr>
            <w:rFonts w:asciiTheme="minorHAnsi" w:hAnsiTheme="minorHAnsi" w:cstheme="minorHAnsi"/>
            <w:b/>
            <w:sz w:val="20"/>
          </w:rPr>
          <w:fldChar w:fldCharType="end"/>
        </w:r>
      </w:p>
    </w:sdtContent>
  </w:sdt>
  <w:p w:rsidR="00A13CA7" w:rsidRDefault="00A13CA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A7" w:rsidRPr="002D467B" w:rsidRDefault="00A13CA7" w:rsidP="00D81108">
    <w:pPr>
      <w:pStyle w:val="a4"/>
      <w:spacing w:before="60"/>
      <w:rPr>
        <w:color w:val="005EA8"/>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CA7" w:rsidRDefault="00A13CA7">
      <w:r>
        <w:separator/>
      </w:r>
    </w:p>
  </w:footnote>
  <w:footnote w:type="continuationSeparator" w:id="0">
    <w:p w:rsidR="00A13CA7" w:rsidRDefault="00A13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A7" w:rsidRPr="002678B1" w:rsidRDefault="00A13CA7" w:rsidP="00254015">
    <w:pPr>
      <w:pStyle w:val="a3"/>
      <w:ind w:left="-142"/>
    </w:pPr>
    <w:r w:rsidRPr="006F5E23">
      <w:rPr>
        <w:noProof/>
      </w:rPr>
      <w:drawing>
        <wp:inline distT="0" distB="0" distL="0" distR="0">
          <wp:extent cx="3257066" cy="714375"/>
          <wp:effectExtent l="0" t="0" r="63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1605" cy="715371"/>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CA7" w:rsidRDefault="00A13CA7" w:rsidP="00D81108">
    <w:pPr>
      <w:pStyle w:val="a3"/>
      <w:ind w:left="-142"/>
    </w:pPr>
    <w:r w:rsidRPr="006F5E23">
      <w:rPr>
        <w:noProof/>
      </w:rPr>
      <w:drawing>
        <wp:inline distT="0" distB="0" distL="0" distR="0">
          <wp:extent cx="3257550" cy="714375"/>
          <wp:effectExtent l="0" t="0" r="0" b="952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55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image.freepik.com/free-icon/facebook-letter-logo_318-40258.png" style="width:468pt;height:468pt;visibility:visible" o:bullet="t">
        <v:imagedata r:id="rId1" o:title="facebook-letter-logo_318-40258"/>
      </v:shape>
    </w:pict>
  </w:numPicBullet>
  <w:abstractNum w:abstractNumId="0" w15:restartNumberingAfterBreak="0">
    <w:nsid w:val="00560407"/>
    <w:multiLevelType w:val="hybridMultilevel"/>
    <w:tmpl w:val="B17C6F56"/>
    <w:lvl w:ilvl="0" w:tplc="B41C376C">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9501EC"/>
    <w:multiLevelType w:val="hybridMultilevel"/>
    <w:tmpl w:val="BC5E06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C233FF3"/>
    <w:multiLevelType w:val="hybridMultilevel"/>
    <w:tmpl w:val="123835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1FC250D"/>
    <w:multiLevelType w:val="hybridMultilevel"/>
    <w:tmpl w:val="96F84CA8"/>
    <w:lvl w:ilvl="0" w:tplc="11101A98">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6267A"/>
    <w:multiLevelType w:val="hybridMultilevel"/>
    <w:tmpl w:val="B5122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3E3AEE"/>
    <w:multiLevelType w:val="hybridMultilevel"/>
    <w:tmpl w:val="DE5896F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D5D42D3"/>
    <w:multiLevelType w:val="hybridMultilevel"/>
    <w:tmpl w:val="D91E0B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D82318B"/>
    <w:multiLevelType w:val="hybridMultilevel"/>
    <w:tmpl w:val="D9F40E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F4B308F"/>
    <w:multiLevelType w:val="hybridMultilevel"/>
    <w:tmpl w:val="51F462A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F960609"/>
    <w:multiLevelType w:val="hybridMultilevel"/>
    <w:tmpl w:val="7478B8B2"/>
    <w:lvl w:ilvl="0" w:tplc="E01AC0EA">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0A93B52"/>
    <w:multiLevelType w:val="hybridMultilevel"/>
    <w:tmpl w:val="D20A89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1585C51"/>
    <w:multiLevelType w:val="hybridMultilevel"/>
    <w:tmpl w:val="C80AD0F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23E54516"/>
    <w:multiLevelType w:val="hybridMultilevel"/>
    <w:tmpl w:val="250A62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BD1A66"/>
    <w:multiLevelType w:val="hybridMultilevel"/>
    <w:tmpl w:val="C91EF7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24DF3FB5"/>
    <w:multiLevelType w:val="hybridMultilevel"/>
    <w:tmpl w:val="C78032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5FD08A6"/>
    <w:multiLevelType w:val="singleLevel"/>
    <w:tmpl w:val="584A778E"/>
    <w:lvl w:ilvl="0">
      <w:numFmt w:val="bullet"/>
      <w:lvlText w:val=""/>
      <w:lvlJc w:val="left"/>
      <w:pPr>
        <w:tabs>
          <w:tab w:val="num" w:pos="360"/>
        </w:tabs>
        <w:ind w:left="360" w:hanging="360"/>
      </w:pPr>
      <w:rPr>
        <w:rFonts w:ascii="Symbol" w:hAnsi="Symbol" w:hint="default"/>
      </w:rPr>
    </w:lvl>
  </w:abstractNum>
  <w:abstractNum w:abstractNumId="16" w15:restartNumberingAfterBreak="0">
    <w:nsid w:val="29357DF7"/>
    <w:multiLevelType w:val="hybridMultilevel"/>
    <w:tmpl w:val="7AEC229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2AFD6333"/>
    <w:multiLevelType w:val="hybridMultilevel"/>
    <w:tmpl w:val="DC60E6EE"/>
    <w:lvl w:ilvl="0" w:tplc="9B28F08A">
      <w:start w:val="2310"/>
      <w:numFmt w:val="bullet"/>
      <w:lvlText w:val="-"/>
      <w:lvlJc w:val="left"/>
      <w:pPr>
        <w:tabs>
          <w:tab w:val="num" w:pos="360"/>
        </w:tabs>
        <w:ind w:left="360" w:hanging="360"/>
      </w:pPr>
      <w:rPr>
        <w:rFonts w:ascii="Arial" w:eastAsia="Times New Roman" w:hAnsi="Arial" w:cs="Arial" w:hint="default"/>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15:restartNumberingAfterBreak="0">
    <w:nsid w:val="2FCC62CE"/>
    <w:multiLevelType w:val="hybridMultilevel"/>
    <w:tmpl w:val="A67EC86E"/>
    <w:lvl w:ilvl="0" w:tplc="BC7EA24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0E17429"/>
    <w:multiLevelType w:val="hybridMultilevel"/>
    <w:tmpl w:val="28DA9F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4A2646F"/>
    <w:multiLevelType w:val="hybridMultilevel"/>
    <w:tmpl w:val="9ED8692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39727B04"/>
    <w:multiLevelType w:val="hybridMultilevel"/>
    <w:tmpl w:val="2EAE0FC6"/>
    <w:lvl w:ilvl="0" w:tplc="0408000F">
      <w:start w:val="1"/>
      <w:numFmt w:val="decimal"/>
      <w:lvlText w:val="%1."/>
      <w:lvlJc w:val="left"/>
      <w:pPr>
        <w:tabs>
          <w:tab w:val="num" w:pos="856"/>
        </w:tabs>
        <w:ind w:left="856" w:hanging="360"/>
      </w:pPr>
    </w:lvl>
    <w:lvl w:ilvl="1" w:tplc="04080019" w:tentative="1">
      <w:start w:val="1"/>
      <w:numFmt w:val="lowerLetter"/>
      <w:lvlText w:val="%2."/>
      <w:lvlJc w:val="left"/>
      <w:pPr>
        <w:tabs>
          <w:tab w:val="num" w:pos="1576"/>
        </w:tabs>
        <w:ind w:left="1576" w:hanging="360"/>
      </w:pPr>
    </w:lvl>
    <w:lvl w:ilvl="2" w:tplc="0408001B" w:tentative="1">
      <w:start w:val="1"/>
      <w:numFmt w:val="lowerRoman"/>
      <w:lvlText w:val="%3."/>
      <w:lvlJc w:val="right"/>
      <w:pPr>
        <w:tabs>
          <w:tab w:val="num" w:pos="2296"/>
        </w:tabs>
        <w:ind w:left="2296" w:hanging="180"/>
      </w:pPr>
    </w:lvl>
    <w:lvl w:ilvl="3" w:tplc="0408000F" w:tentative="1">
      <w:start w:val="1"/>
      <w:numFmt w:val="decimal"/>
      <w:lvlText w:val="%4."/>
      <w:lvlJc w:val="left"/>
      <w:pPr>
        <w:tabs>
          <w:tab w:val="num" w:pos="3016"/>
        </w:tabs>
        <w:ind w:left="3016" w:hanging="360"/>
      </w:pPr>
    </w:lvl>
    <w:lvl w:ilvl="4" w:tplc="04080019" w:tentative="1">
      <w:start w:val="1"/>
      <w:numFmt w:val="lowerLetter"/>
      <w:lvlText w:val="%5."/>
      <w:lvlJc w:val="left"/>
      <w:pPr>
        <w:tabs>
          <w:tab w:val="num" w:pos="3736"/>
        </w:tabs>
        <w:ind w:left="3736" w:hanging="360"/>
      </w:pPr>
    </w:lvl>
    <w:lvl w:ilvl="5" w:tplc="0408001B" w:tentative="1">
      <w:start w:val="1"/>
      <w:numFmt w:val="lowerRoman"/>
      <w:lvlText w:val="%6."/>
      <w:lvlJc w:val="right"/>
      <w:pPr>
        <w:tabs>
          <w:tab w:val="num" w:pos="4456"/>
        </w:tabs>
        <w:ind w:left="4456" w:hanging="180"/>
      </w:pPr>
    </w:lvl>
    <w:lvl w:ilvl="6" w:tplc="0408000F" w:tentative="1">
      <w:start w:val="1"/>
      <w:numFmt w:val="decimal"/>
      <w:lvlText w:val="%7."/>
      <w:lvlJc w:val="left"/>
      <w:pPr>
        <w:tabs>
          <w:tab w:val="num" w:pos="5176"/>
        </w:tabs>
        <w:ind w:left="5176" w:hanging="360"/>
      </w:pPr>
    </w:lvl>
    <w:lvl w:ilvl="7" w:tplc="04080019" w:tentative="1">
      <w:start w:val="1"/>
      <w:numFmt w:val="lowerLetter"/>
      <w:lvlText w:val="%8."/>
      <w:lvlJc w:val="left"/>
      <w:pPr>
        <w:tabs>
          <w:tab w:val="num" w:pos="5896"/>
        </w:tabs>
        <w:ind w:left="5896" w:hanging="360"/>
      </w:pPr>
    </w:lvl>
    <w:lvl w:ilvl="8" w:tplc="0408001B" w:tentative="1">
      <w:start w:val="1"/>
      <w:numFmt w:val="lowerRoman"/>
      <w:lvlText w:val="%9."/>
      <w:lvlJc w:val="right"/>
      <w:pPr>
        <w:tabs>
          <w:tab w:val="num" w:pos="6616"/>
        </w:tabs>
        <w:ind w:left="6616" w:hanging="180"/>
      </w:pPr>
    </w:lvl>
  </w:abstractNum>
  <w:abstractNum w:abstractNumId="22" w15:restartNumberingAfterBreak="0">
    <w:nsid w:val="3A907692"/>
    <w:multiLevelType w:val="hybridMultilevel"/>
    <w:tmpl w:val="2F2E590E"/>
    <w:lvl w:ilvl="0" w:tplc="BC7EA24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B91608E"/>
    <w:multiLevelType w:val="hybridMultilevel"/>
    <w:tmpl w:val="D7EC1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5F5939"/>
    <w:multiLevelType w:val="hybridMultilevel"/>
    <w:tmpl w:val="626C1F32"/>
    <w:lvl w:ilvl="0" w:tplc="67E2DE72">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D843C14"/>
    <w:multiLevelType w:val="hybridMultilevel"/>
    <w:tmpl w:val="0A5253FC"/>
    <w:lvl w:ilvl="0" w:tplc="6C92A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4565D5"/>
    <w:multiLevelType w:val="hybridMultilevel"/>
    <w:tmpl w:val="59581570"/>
    <w:lvl w:ilvl="0" w:tplc="9B28F08A">
      <w:start w:val="2310"/>
      <w:numFmt w:val="bullet"/>
      <w:lvlText w:val="-"/>
      <w:lvlJc w:val="left"/>
      <w:pPr>
        <w:tabs>
          <w:tab w:val="num" w:pos="2421"/>
        </w:tabs>
        <w:ind w:left="2421" w:hanging="360"/>
      </w:pPr>
      <w:rPr>
        <w:rFonts w:ascii="Arial" w:eastAsia="Times New Roman" w:hAnsi="Arial" w:cs="Arial" w:hint="default"/>
        <w:b w:val="0"/>
      </w:rPr>
    </w:lvl>
    <w:lvl w:ilvl="1" w:tplc="0408000F">
      <w:start w:val="1"/>
      <w:numFmt w:val="decimal"/>
      <w:lvlText w:val="%2."/>
      <w:lvlJc w:val="left"/>
      <w:pPr>
        <w:tabs>
          <w:tab w:val="num" w:pos="3141"/>
        </w:tabs>
        <w:ind w:left="3141" w:hanging="360"/>
      </w:pPr>
      <w:rPr>
        <w:rFonts w:hint="default"/>
        <w:b w:val="0"/>
      </w:rPr>
    </w:lvl>
    <w:lvl w:ilvl="2" w:tplc="04080005" w:tentative="1">
      <w:start w:val="1"/>
      <w:numFmt w:val="bullet"/>
      <w:lvlText w:val=""/>
      <w:lvlJc w:val="left"/>
      <w:pPr>
        <w:tabs>
          <w:tab w:val="num" w:pos="3861"/>
        </w:tabs>
        <w:ind w:left="3861" w:hanging="360"/>
      </w:pPr>
      <w:rPr>
        <w:rFonts w:ascii="Wingdings" w:hAnsi="Wingdings" w:hint="default"/>
      </w:rPr>
    </w:lvl>
    <w:lvl w:ilvl="3" w:tplc="04080001">
      <w:start w:val="1"/>
      <w:numFmt w:val="bullet"/>
      <w:lvlText w:val=""/>
      <w:lvlJc w:val="left"/>
      <w:pPr>
        <w:tabs>
          <w:tab w:val="num" w:pos="4581"/>
        </w:tabs>
        <w:ind w:left="4581" w:hanging="360"/>
      </w:pPr>
      <w:rPr>
        <w:rFonts w:ascii="Symbol" w:hAnsi="Symbol" w:hint="default"/>
      </w:rPr>
    </w:lvl>
    <w:lvl w:ilvl="4" w:tplc="04080003" w:tentative="1">
      <w:start w:val="1"/>
      <w:numFmt w:val="bullet"/>
      <w:lvlText w:val="o"/>
      <w:lvlJc w:val="left"/>
      <w:pPr>
        <w:tabs>
          <w:tab w:val="num" w:pos="5301"/>
        </w:tabs>
        <w:ind w:left="5301" w:hanging="360"/>
      </w:pPr>
      <w:rPr>
        <w:rFonts w:ascii="Courier New" w:hAnsi="Courier New" w:cs="Courier New" w:hint="default"/>
      </w:rPr>
    </w:lvl>
    <w:lvl w:ilvl="5" w:tplc="04080005" w:tentative="1">
      <w:start w:val="1"/>
      <w:numFmt w:val="bullet"/>
      <w:lvlText w:val=""/>
      <w:lvlJc w:val="left"/>
      <w:pPr>
        <w:tabs>
          <w:tab w:val="num" w:pos="6021"/>
        </w:tabs>
        <w:ind w:left="6021" w:hanging="360"/>
      </w:pPr>
      <w:rPr>
        <w:rFonts w:ascii="Wingdings" w:hAnsi="Wingdings" w:hint="default"/>
      </w:rPr>
    </w:lvl>
    <w:lvl w:ilvl="6" w:tplc="04080001" w:tentative="1">
      <w:start w:val="1"/>
      <w:numFmt w:val="bullet"/>
      <w:lvlText w:val=""/>
      <w:lvlJc w:val="left"/>
      <w:pPr>
        <w:tabs>
          <w:tab w:val="num" w:pos="6741"/>
        </w:tabs>
        <w:ind w:left="6741" w:hanging="360"/>
      </w:pPr>
      <w:rPr>
        <w:rFonts w:ascii="Symbol" w:hAnsi="Symbol" w:hint="default"/>
      </w:rPr>
    </w:lvl>
    <w:lvl w:ilvl="7" w:tplc="04080003" w:tentative="1">
      <w:start w:val="1"/>
      <w:numFmt w:val="bullet"/>
      <w:lvlText w:val="o"/>
      <w:lvlJc w:val="left"/>
      <w:pPr>
        <w:tabs>
          <w:tab w:val="num" w:pos="7461"/>
        </w:tabs>
        <w:ind w:left="7461" w:hanging="360"/>
      </w:pPr>
      <w:rPr>
        <w:rFonts w:ascii="Courier New" w:hAnsi="Courier New" w:cs="Courier New" w:hint="default"/>
      </w:rPr>
    </w:lvl>
    <w:lvl w:ilvl="8" w:tplc="04080005" w:tentative="1">
      <w:start w:val="1"/>
      <w:numFmt w:val="bullet"/>
      <w:lvlText w:val=""/>
      <w:lvlJc w:val="left"/>
      <w:pPr>
        <w:tabs>
          <w:tab w:val="num" w:pos="8181"/>
        </w:tabs>
        <w:ind w:left="8181" w:hanging="360"/>
      </w:pPr>
      <w:rPr>
        <w:rFonts w:ascii="Wingdings" w:hAnsi="Wingdings" w:hint="default"/>
      </w:rPr>
    </w:lvl>
  </w:abstractNum>
  <w:abstractNum w:abstractNumId="27" w15:restartNumberingAfterBreak="0">
    <w:nsid w:val="443F6334"/>
    <w:multiLevelType w:val="hybridMultilevel"/>
    <w:tmpl w:val="F7C844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596550F"/>
    <w:multiLevelType w:val="hybridMultilevel"/>
    <w:tmpl w:val="18329606"/>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83C602B"/>
    <w:multiLevelType w:val="hybridMultilevel"/>
    <w:tmpl w:val="1E8C28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8F76502"/>
    <w:multiLevelType w:val="hybridMultilevel"/>
    <w:tmpl w:val="7924F9B6"/>
    <w:lvl w:ilvl="0" w:tplc="BC7EA24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AD3514E"/>
    <w:multiLevelType w:val="hybridMultilevel"/>
    <w:tmpl w:val="A3F0B8FC"/>
    <w:lvl w:ilvl="0" w:tplc="D1425FEE">
      <w:start w:val="1"/>
      <w:numFmt w:val="decimal"/>
      <w:lvlText w:val="%1."/>
      <w:lvlJc w:val="left"/>
      <w:pPr>
        <w:ind w:left="720" w:hanging="360"/>
      </w:pPr>
      <w:rPr>
        <w:rFonts w:hint="default"/>
        <w:b/>
        <w:i w:val="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D002D97"/>
    <w:multiLevelType w:val="hybridMultilevel"/>
    <w:tmpl w:val="814A6A3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F8264EC"/>
    <w:multiLevelType w:val="hybridMultilevel"/>
    <w:tmpl w:val="5B0E982C"/>
    <w:lvl w:ilvl="0" w:tplc="0408000F">
      <w:start w:val="1"/>
      <w:numFmt w:val="decimal"/>
      <w:lvlText w:val="%1."/>
      <w:lvlJc w:val="left"/>
      <w:pPr>
        <w:ind w:left="720" w:hanging="360"/>
      </w:pPr>
    </w:lvl>
    <w:lvl w:ilvl="1" w:tplc="0408001B">
      <w:start w:val="1"/>
      <w:numFmt w:val="low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8686302"/>
    <w:multiLevelType w:val="hybridMultilevel"/>
    <w:tmpl w:val="35D2352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15:restartNumberingAfterBreak="0">
    <w:nsid w:val="58F048A0"/>
    <w:multiLevelType w:val="hybridMultilevel"/>
    <w:tmpl w:val="CE1816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5B8418A3"/>
    <w:multiLevelType w:val="hybridMultilevel"/>
    <w:tmpl w:val="D5C6A120"/>
    <w:lvl w:ilvl="0" w:tplc="3CE0A60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CF9767B"/>
    <w:multiLevelType w:val="hybridMultilevel"/>
    <w:tmpl w:val="1DEA212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04347E0"/>
    <w:multiLevelType w:val="hybridMultilevel"/>
    <w:tmpl w:val="478649C8"/>
    <w:lvl w:ilvl="0" w:tplc="0408000F">
      <w:start w:val="1"/>
      <w:numFmt w:val="decimal"/>
      <w:lvlText w:val="%1."/>
      <w:lvlJc w:val="left"/>
      <w:pPr>
        <w:ind w:left="107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9" w15:restartNumberingAfterBreak="0">
    <w:nsid w:val="609917C9"/>
    <w:multiLevelType w:val="singleLevel"/>
    <w:tmpl w:val="584A778E"/>
    <w:lvl w:ilvl="0">
      <w:numFmt w:val="bullet"/>
      <w:lvlText w:val=""/>
      <w:lvlJc w:val="left"/>
      <w:pPr>
        <w:tabs>
          <w:tab w:val="num" w:pos="360"/>
        </w:tabs>
        <w:ind w:left="360" w:hanging="360"/>
      </w:pPr>
      <w:rPr>
        <w:rFonts w:ascii="Symbol" w:hAnsi="Symbol" w:hint="default"/>
      </w:rPr>
    </w:lvl>
  </w:abstractNum>
  <w:abstractNum w:abstractNumId="40" w15:restartNumberingAfterBreak="0">
    <w:nsid w:val="60E2139F"/>
    <w:multiLevelType w:val="hybridMultilevel"/>
    <w:tmpl w:val="DE56344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1" w15:restartNumberingAfterBreak="0">
    <w:nsid w:val="69F40792"/>
    <w:multiLevelType w:val="hybridMultilevel"/>
    <w:tmpl w:val="EA0C77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719779BE"/>
    <w:multiLevelType w:val="hybridMultilevel"/>
    <w:tmpl w:val="9D78713A"/>
    <w:lvl w:ilvl="0" w:tplc="04080001">
      <w:start w:val="1"/>
      <w:numFmt w:val="bullet"/>
      <w:lvlText w:val=""/>
      <w:lvlJc w:val="left"/>
      <w:pPr>
        <w:ind w:left="1490" w:hanging="360"/>
      </w:pPr>
      <w:rPr>
        <w:rFonts w:ascii="Symbol" w:hAnsi="Symbol" w:hint="default"/>
      </w:rPr>
    </w:lvl>
    <w:lvl w:ilvl="1" w:tplc="04080003" w:tentative="1">
      <w:start w:val="1"/>
      <w:numFmt w:val="bullet"/>
      <w:lvlText w:val="o"/>
      <w:lvlJc w:val="left"/>
      <w:pPr>
        <w:ind w:left="2210" w:hanging="360"/>
      </w:pPr>
      <w:rPr>
        <w:rFonts w:ascii="Courier New" w:hAnsi="Courier New" w:cs="Courier New" w:hint="default"/>
      </w:rPr>
    </w:lvl>
    <w:lvl w:ilvl="2" w:tplc="04080005" w:tentative="1">
      <w:start w:val="1"/>
      <w:numFmt w:val="bullet"/>
      <w:lvlText w:val=""/>
      <w:lvlJc w:val="left"/>
      <w:pPr>
        <w:ind w:left="2930" w:hanging="360"/>
      </w:pPr>
      <w:rPr>
        <w:rFonts w:ascii="Wingdings" w:hAnsi="Wingdings" w:hint="default"/>
      </w:rPr>
    </w:lvl>
    <w:lvl w:ilvl="3" w:tplc="04080001" w:tentative="1">
      <w:start w:val="1"/>
      <w:numFmt w:val="bullet"/>
      <w:lvlText w:val=""/>
      <w:lvlJc w:val="left"/>
      <w:pPr>
        <w:ind w:left="3650" w:hanging="360"/>
      </w:pPr>
      <w:rPr>
        <w:rFonts w:ascii="Symbol" w:hAnsi="Symbol" w:hint="default"/>
      </w:rPr>
    </w:lvl>
    <w:lvl w:ilvl="4" w:tplc="04080003" w:tentative="1">
      <w:start w:val="1"/>
      <w:numFmt w:val="bullet"/>
      <w:lvlText w:val="o"/>
      <w:lvlJc w:val="left"/>
      <w:pPr>
        <w:ind w:left="4370" w:hanging="360"/>
      </w:pPr>
      <w:rPr>
        <w:rFonts w:ascii="Courier New" w:hAnsi="Courier New" w:cs="Courier New" w:hint="default"/>
      </w:rPr>
    </w:lvl>
    <w:lvl w:ilvl="5" w:tplc="04080005" w:tentative="1">
      <w:start w:val="1"/>
      <w:numFmt w:val="bullet"/>
      <w:lvlText w:val=""/>
      <w:lvlJc w:val="left"/>
      <w:pPr>
        <w:ind w:left="5090" w:hanging="360"/>
      </w:pPr>
      <w:rPr>
        <w:rFonts w:ascii="Wingdings" w:hAnsi="Wingdings" w:hint="default"/>
      </w:rPr>
    </w:lvl>
    <w:lvl w:ilvl="6" w:tplc="04080001" w:tentative="1">
      <w:start w:val="1"/>
      <w:numFmt w:val="bullet"/>
      <w:lvlText w:val=""/>
      <w:lvlJc w:val="left"/>
      <w:pPr>
        <w:ind w:left="5810" w:hanging="360"/>
      </w:pPr>
      <w:rPr>
        <w:rFonts w:ascii="Symbol" w:hAnsi="Symbol" w:hint="default"/>
      </w:rPr>
    </w:lvl>
    <w:lvl w:ilvl="7" w:tplc="04080003" w:tentative="1">
      <w:start w:val="1"/>
      <w:numFmt w:val="bullet"/>
      <w:lvlText w:val="o"/>
      <w:lvlJc w:val="left"/>
      <w:pPr>
        <w:ind w:left="6530" w:hanging="360"/>
      </w:pPr>
      <w:rPr>
        <w:rFonts w:ascii="Courier New" w:hAnsi="Courier New" w:cs="Courier New" w:hint="default"/>
      </w:rPr>
    </w:lvl>
    <w:lvl w:ilvl="8" w:tplc="04080005" w:tentative="1">
      <w:start w:val="1"/>
      <w:numFmt w:val="bullet"/>
      <w:lvlText w:val=""/>
      <w:lvlJc w:val="left"/>
      <w:pPr>
        <w:ind w:left="7250" w:hanging="360"/>
      </w:pPr>
      <w:rPr>
        <w:rFonts w:ascii="Wingdings" w:hAnsi="Wingdings" w:hint="default"/>
      </w:rPr>
    </w:lvl>
  </w:abstractNum>
  <w:abstractNum w:abstractNumId="43" w15:restartNumberingAfterBreak="0">
    <w:nsid w:val="72FC7013"/>
    <w:multiLevelType w:val="hybridMultilevel"/>
    <w:tmpl w:val="B21C85EE"/>
    <w:lvl w:ilvl="0" w:tplc="9B28F08A">
      <w:start w:val="2310"/>
      <w:numFmt w:val="bullet"/>
      <w:lvlText w:val="-"/>
      <w:lvlJc w:val="left"/>
      <w:pPr>
        <w:ind w:left="720" w:hanging="360"/>
      </w:pPr>
      <w:rPr>
        <w:rFonts w:ascii="Arial" w:eastAsia="Times New Roman" w:hAnsi="Aria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69760F7"/>
    <w:multiLevelType w:val="hybridMultilevel"/>
    <w:tmpl w:val="724E8C5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5" w15:restartNumberingAfterBreak="0">
    <w:nsid w:val="76EC7BAE"/>
    <w:multiLevelType w:val="hybridMultilevel"/>
    <w:tmpl w:val="673A80A8"/>
    <w:lvl w:ilvl="0" w:tplc="67E2DE72">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AA43642"/>
    <w:multiLevelType w:val="hybridMultilevel"/>
    <w:tmpl w:val="6ACA50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7" w15:restartNumberingAfterBreak="0">
    <w:nsid w:val="7B1C2F88"/>
    <w:multiLevelType w:val="hybridMultilevel"/>
    <w:tmpl w:val="2FF8BA78"/>
    <w:lvl w:ilvl="0" w:tplc="9B28F08A">
      <w:start w:val="2310"/>
      <w:numFmt w:val="bullet"/>
      <w:lvlText w:val="-"/>
      <w:lvlJc w:val="left"/>
      <w:pPr>
        <w:ind w:left="720" w:hanging="360"/>
      </w:pPr>
      <w:rPr>
        <w:rFonts w:ascii="Arial" w:eastAsia="Times New Roman" w:hAnsi="Arial" w:cs="Arial" w:hint="default"/>
        <w:b w:val="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34"/>
  </w:num>
  <w:num w:numId="2">
    <w:abstractNumId w:val="23"/>
  </w:num>
  <w:num w:numId="3">
    <w:abstractNumId w:val="25"/>
  </w:num>
  <w:num w:numId="4">
    <w:abstractNumId w:val="39"/>
  </w:num>
  <w:num w:numId="5">
    <w:abstractNumId w:val="15"/>
  </w:num>
  <w:num w:numId="6">
    <w:abstractNumId w:val="3"/>
  </w:num>
  <w:num w:numId="7">
    <w:abstractNumId w:val="21"/>
  </w:num>
  <w:num w:numId="8">
    <w:abstractNumId w:val="4"/>
  </w:num>
  <w:num w:numId="9">
    <w:abstractNumId w:val="33"/>
  </w:num>
  <w:num w:numId="10">
    <w:abstractNumId w:val="45"/>
  </w:num>
  <w:num w:numId="11">
    <w:abstractNumId w:val="24"/>
  </w:num>
  <w:num w:numId="12">
    <w:abstractNumId w:val="2"/>
  </w:num>
  <w:num w:numId="13">
    <w:abstractNumId w:val="27"/>
  </w:num>
  <w:num w:numId="14">
    <w:abstractNumId w:val="35"/>
  </w:num>
  <w:num w:numId="15">
    <w:abstractNumId w:val="10"/>
  </w:num>
  <w:num w:numId="16">
    <w:abstractNumId w:val="32"/>
  </w:num>
  <w:num w:numId="17">
    <w:abstractNumId w:val="12"/>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47"/>
  </w:num>
  <w:num w:numId="21">
    <w:abstractNumId w:val="26"/>
  </w:num>
  <w:num w:numId="22">
    <w:abstractNumId w:val="28"/>
  </w:num>
  <w:num w:numId="23">
    <w:abstractNumId w:val="9"/>
  </w:num>
  <w:num w:numId="24">
    <w:abstractNumId w:val="43"/>
  </w:num>
  <w:num w:numId="25">
    <w:abstractNumId w:val="37"/>
  </w:num>
  <w:num w:numId="26">
    <w:abstractNumId w:val="8"/>
  </w:num>
  <w:num w:numId="27">
    <w:abstractNumId w:val="5"/>
  </w:num>
  <w:num w:numId="28">
    <w:abstractNumId w:val="1"/>
  </w:num>
  <w:num w:numId="29">
    <w:abstractNumId w:val="22"/>
  </w:num>
  <w:num w:numId="30">
    <w:abstractNumId w:val="44"/>
  </w:num>
  <w:num w:numId="31">
    <w:abstractNumId w:val="30"/>
  </w:num>
  <w:num w:numId="32">
    <w:abstractNumId w:val="18"/>
  </w:num>
  <w:num w:numId="33">
    <w:abstractNumId w:val="40"/>
  </w:num>
  <w:num w:numId="34">
    <w:abstractNumId w:val="11"/>
  </w:num>
  <w:num w:numId="35">
    <w:abstractNumId w:val="14"/>
  </w:num>
  <w:num w:numId="36">
    <w:abstractNumId w:val="6"/>
  </w:num>
  <w:num w:numId="37">
    <w:abstractNumId w:val="41"/>
  </w:num>
  <w:num w:numId="38">
    <w:abstractNumId w:val="29"/>
  </w:num>
  <w:num w:numId="39">
    <w:abstractNumId w:val="16"/>
  </w:num>
  <w:num w:numId="40">
    <w:abstractNumId w:val="46"/>
  </w:num>
  <w:num w:numId="41">
    <w:abstractNumId w:val="36"/>
  </w:num>
  <w:num w:numId="42">
    <w:abstractNumId w:val="0"/>
  </w:num>
  <w:num w:numId="43">
    <w:abstractNumId w:val="19"/>
  </w:num>
  <w:num w:numId="44">
    <w:abstractNumId w:val="31"/>
  </w:num>
  <w:num w:numId="45">
    <w:abstractNumId w:val="7"/>
  </w:num>
  <w:num w:numId="46">
    <w:abstractNumId w:val="42"/>
  </w:num>
  <w:num w:numId="47">
    <w:abstractNumId w:val="2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F9"/>
    <w:rsid w:val="00003349"/>
    <w:rsid w:val="0000617D"/>
    <w:rsid w:val="000106F1"/>
    <w:rsid w:val="0001103B"/>
    <w:rsid w:val="000254F6"/>
    <w:rsid w:val="00031C2F"/>
    <w:rsid w:val="00034C27"/>
    <w:rsid w:val="000440EE"/>
    <w:rsid w:val="00045C01"/>
    <w:rsid w:val="000611BB"/>
    <w:rsid w:val="00063521"/>
    <w:rsid w:val="00065F32"/>
    <w:rsid w:val="00070007"/>
    <w:rsid w:val="00085789"/>
    <w:rsid w:val="00097AE0"/>
    <w:rsid w:val="000A0A2F"/>
    <w:rsid w:val="000A0CA5"/>
    <w:rsid w:val="000A4166"/>
    <w:rsid w:val="000C1D86"/>
    <w:rsid w:val="000D5178"/>
    <w:rsid w:val="000D70D5"/>
    <w:rsid w:val="000E1BB6"/>
    <w:rsid w:val="000E1CC8"/>
    <w:rsid w:val="000E507B"/>
    <w:rsid w:val="000F0042"/>
    <w:rsid w:val="00105349"/>
    <w:rsid w:val="0010703F"/>
    <w:rsid w:val="0011006B"/>
    <w:rsid w:val="001109EC"/>
    <w:rsid w:val="0011548A"/>
    <w:rsid w:val="00121E42"/>
    <w:rsid w:val="001236C2"/>
    <w:rsid w:val="001242F7"/>
    <w:rsid w:val="00127B85"/>
    <w:rsid w:val="00130756"/>
    <w:rsid w:val="00140D08"/>
    <w:rsid w:val="00146744"/>
    <w:rsid w:val="00160A65"/>
    <w:rsid w:val="0016473B"/>
    <w:rsid w:val="00174B5C"/>
    <w:rsid w:val="00176DE3"/>
    <w:rsid w:val="00181696"/>
    <w:rsid w:val="001906D1"/>
    <w:rsid w:val="001A11A9"/>
    <w:rsid w:val="001B04E3"/>
    <w:rsid w:val="001B2AC1"/>
    <w:rsid w:val="001B2D13"/>
    <w:rsid w:val="001B41CA"/>
    <w:rsid w:val="001B4CE5"/>
    <w:rsid w:val="001B6325"/>
    <w:rsid w:val="001B6D85"/>
    <w:rsid w:val="001C7184"/>
    <w:rsid w:val="001F4D50"/>
    <w:rsid w:val="001F52F2"/>
    <w:rsid w:val="00205D9B"/>
    <w:rsid w:val="002071C5"/>
    <w:rsid w:val="00220E1D"/>
    <w:rsid w:val="0022569F"/>
    <w:rsid w:val="002266A8"/>
    <w:rsid w:val="00230BEA"/>
    <w:rsid w:val="002322ED"/>
    <w:rsid w:val="00233E90"/>
    <w:rsid w:val="00235FEA"/>
    <w:rsid w:val="002435C7"/>
    <w:rsid w:val="00252636"/>
    <w:rsid w:val="00254015"/>
    <w:rsid w:val="00266915"/>
    <w:rsid w:val="002678B1"/>
    <w:rsid w:val="00271E8A"/>
    <w:rsid w:val="0027548B"/>
    <w:rsid w:val="0027684B"/>
    <w:rsid w:val="00287FE8"/>
    <w:rsid w:val="002924B7"/>
    <w:rsid w:val="002B4A5C"/>
    <w:rsid w:val="002B5E46"/>
    <w:rsid w:val="002B733A"/>
    <w:rsid w:val="002D467B"/>
    <w:rsid w:val="002D6F9C"/>
    <w:rsid w:val="002E168A"/>
    <w:rsid w:val="002F31B2"/>
    <w:rsid w:val="002F3818"/>
    <w:rsid w:val="00301B02"/>
    <w:rsid w:val="00302F6E"/>
    <w:rsid w:val="00313A49"/>
    <w:rsid w:val="00314581"/>
    <w:rsid w:val="003228B3"/>
    <w:rsid w:val="00323165"/>
    <w:rsid w:val="00325F8F"/>
    <w:rsid w:val="003371F0"/>
    <w:rsid w:val="003450B4"/>
    <w:rsid w:val="00350A47"/>
    <w:rsid w:val="003525E8"/>
    <w:rsid w:val="00361392"/>
    <w:rsid w:val="003623A8"/>
    <w:rsid w:val="003637DE"/>
    <w:rsid w:val="003646C8"/>
    <w:rsid w:val="00376A84"/>
    <w:rsid w:val="00386E41"/>
    <w:rsid w:val="003915DE"/>
    <w:rsid w:val="003A4C10"/>
    <w:rsid w:val="003A52EC"/>
    <w:rsid w:val="003B080E"/>
    <w:rsid w:val="003C784E"/>
    <w:rsid w:val="003D6BA6"/>
    <w:rsid w:val="003F1200"/>
    <w:rsid w:val="003F428B"/>
    <w:rsid w:val="003F5C21"/>
    <w:rsid w:val="003F759D"/>
    <w:rsid w:val="00400BDD"/>
    <w:rsid w:val="00404E30"/>
    <w:rsid w:val="00416387"/>
    <w:rsid w:val="004239ED"/>
    <w:rsid w:val="004246D6"/>
    <w:rsid w:val="00426D6A"/>
    <w:rsid w:val="00443F80"/>
    <w:rsid w:val="00455004"/>
    <w:rsid w:val="0047077F"/>
    <w:rsid w:val="00470DF1"/>
    <w:rsid w:val="0047779E"/>
    <w:rsid w:val="00481AB0"/>
    <w:rsid w:val="004963EA"/>
    <w:rsid w:val="004A5927"/>
    <w:rsid w:val="004B3841"/>
    <w:rsid w:val="004C2E42"/>
    <w:rsid w:val="004D33AD"/>
    <w:rsid w:val="004D36AB"/>
    <w:rsid w:val="004D4E28"/>
    <w:rsid w:val="004E0A06"/>
    <w:rsid w:val="004F793A"/>
    <w:rsid w:val="005048D6"/>
    <w:rsid w:val="00520948"/>
    <w:rsid w:val="00531ACF"/>
    <w:rsid w:val="00532264"/>
    <w:rsid w:val="00542D5E"/>
    <w:rsid w:val="00546016"/>
    <w:rsid w:val="00564E26"/>
    <w:rsid w:val="005661C0"/>
    <w:rsid w:val="0056655C"/>
    <w:rsid w:val="005666BB"/>
    <w:rsid w:val="00567059"/>
    <w:rsid w:val="005772B0"/>
    <w:rsid w:val="00580226"/>
    <w:rsid w:val="00591317"/>
    <w:rsid w:val="00592D95"/>
    <w:rsid w:val="005A3252"/>
    <w:rsid w:val="005A35BA"/>
    <w:rsid w:val="005A581D"/>
    <w:rsid w:val="005B1F47"/>
    <w:rsid w:val="005B6AF8"/>
    <w:rsid w:val="005C5216"/>
    <w:rsid w:val="005C6CE4"/>
    <w:rsid w:val="005E0F8D"/>
    <w:rsid w:val="00601F58"/>
    <w:rsid w:val="00603864"/>
    <w:rsid w:val="00607E44"/>
    <w:rsid w:val="0061025F"/>
    <w:rsid w:val="00613D7F"/>
    <w:rsid w:val="00614F9E"/>
    <w:rsid w:val="006156F1"/>
    <w:rsid w:val="00617EF4"/>
    <w:rsid w:val="00634DEE"/>
    <w:rsid w:val="00635BBE"/>
    <w:rsid w:val="00636785"/>
    <w:rsid w:val="00637661"/>
    <w:rsid w:val="006417A6"/>
    <w:rsid w:val="006443CC"/>
    <w:rsid w:val="00646059"/>
    <w:rsid w:val="006570B6"/>
    <w:rsid w:val="00665ECB"/>
    <w:rsid w:val="00666DD2"/>
    <w:rsid w:val="00676798"/>
    <w:rsid w:val="006806AE"/>
    <w:rsid w:val="00683048"/>
    <w:rsid w:val="00685306"/>
    <w:rsid w:val="006863E5"/>
    <w:rsid w:val="0069400F"/>
    <w:rsid w:val="00695730"/>
    <w:rsid w:val="006A28D5"/>
    <w:rsid w:val="006A5418"/>
    <w:rsid w:val="006C263B"/>
    <w:rsid w:val="006C6512"/>
    <w:rsid w:val="006D1B0C"/>
    <w:rsid w:val="006E218D"/>
    <w:rsid w:val="006E4212"/>
    <w:rsid w:val="006E49DF"/>
    <w:rsid w:val="006F0B0E"/>
    <w:rsid w:val="006F3660"/>
    <w:rsid w:val="006F67A7"/>
    <w:rsid w:val="00711B7A"/>
    <w:rsid w:val="00712BB6"/>
    <w:rsid w:val="00722805"/>
    <w:rsid w:val="007228EA"/>
    <w:rsid w:val="00724F01"/>
    <w:rsid w:val="00727DF7"/>
    <w:rsid w:val="00734808"/>
    <w:rsid w:val="00737F6B"/>
    <w:rsid w:val="00740854"/>
    <w:rsid w:val="0075207C"/>
    <w:rsid w:val="00753EC3"/>
    <w:rsid w:val="00763D95"/>
    <w:rsid w:val="00767475"/>
    <w:rsid w:val="00771587"/>
    <w:rsid w:val="0077427A"/>
    <w:rsid w:val="00776FF9"/>
    <w:rsid w:val="007776C2"/>
    <w:rsid w:val="0078614F"/>
    <w:rsid w:val="00792DC5"/>
    <w:rsid w:val="007A5423"/>
    <w:rsid w:val="007A5CFC"/>
    <w:rsid w:val="007A70BF"/>
    <w:rsid w:val="007A76A4"/>
    <w:rsid w:val="007B02CD"/>
    <w:rsid w:val="007B1344"/>
    <w:rsid w:val="007B179A"/>
    <w:rsid w:val="007B4884"/>
    <w:rsid w:val="007C5582"/>
    <w:rsid w:val="007D1FDE"/>
    <w:rsid w:val="007D4384"/>
    <w:rsid w:val="007E4F38"/>
    <w:rsid w:val="007F31AB"/>
    <w:rsid w:val="0081179B"/>
    <w:rsid w:val="00813C89"/>
    <w:rsid w:val="00815D0C"/>
    <w:rsid w:val="008170CE"/>
    <w:rsid w:val="00817B65"/>
    <w:rsid w:val="008255F5"/>
    <w:rsid w:val="00832E05"/>
    <w:rsid w:val="0083495F"/>
    <w:rsid w:val="00840974"/>
    <w:rsid w:val="00842D50"/>
    <w:rsid w:val="00852E48"/>
    <w:rsid w:val="00852F7D"/>
    <w:rsid w:val="0085360F"/>
    <w:rsid w:val="00856B90"/>
    <w:rsid w:val="00865411"/>
    <w:rsid w:val="008701C2"/>
    <w:rsid w:val="0088122F"/>
    <w:rsid w:val="008825CD"/>
    <w:rsid w:val="00886A3F"/>
    <w:rsid w:val="00890364"/>
    <w:rsid w:val="00897533"/>
    <w:rsid w:val="008A400B"/>
    <w:rsid w:val="008A7A1F"/>
    <w:rsid w:val="008C038A"/>
    <w:rsid w:val="008C34B8"/>
    <w:rsid w:val="008C7B62"/>
    <w:rsid w:val="008D200E"/>
    <w:rsid w:val="008E4DCB"/>
    <w:rsid w:val="008F526E"/>
    <w:rsid w:val="008F542C"/>
    <w:rsid w:val="00904C95"/>
    <w:rsid w:val="009147C1"/>
    <w:rsid w:val="009301C2"/>
    <w:rsid w:val="00931A0C"/>
    <w:rsid w:val="009522D7"/>
    <w:rsid w:val="009631AA"/>
    <w:rsid w:val="0096791D"/>
    <w:rsid w:val="00972351"/>
    <w:rsid w:val="00974D94"/>
    <w:rsid w:val="009800B7"/>
    <w:rsid w:val="0098365B"/>
    <w:rsid w:val="00986229"/>
    <w:rsid w:val="00987141"/>
    <w:rsid w:val="009920C1"/>
    <w:rsid w:val="00995F4B"/>
    <w:rsid w:val="009962E2"/>
    <w:rsid w:val="009B5A76"/>
    <w:rsid w:val="009C010B"/>
    <w:rsid w:val="009C17BA"/>
    <w:rsid w:val="009C2322"/>
    <w:rsid w:val="009C2445"/>
    <w:rsid w:val="009C6EEE"/>
    <w:rsid w:val="009D3055"/>
    <w:rsid w:val="009E13AE"/>
    <w:rsid w:val="009E14ED"/>
    <w:rsid w:val="009E1EDB"/>
    <w:rsid w:val="009E4088"/>
    <w:rsid w:val="009F0D99"/>
    <w:rsid w:val="009F2270"/>
    <w:rsid w:val="00A011F5"/>
    <w:rsid w:val="00A02B33"/>
    <w:rsid w:val="00A05A8E"/>
    <w:rsid w:val="00A13CA7"/>
    <w:rsid w:val="00A1527E"/>
    <w:rsid w:val="00A16B4B"/>
    <w:rsid w:val="00A16C69"/>
    <w:rsid w:val="00A21098"/>
    <w:rsid w:val="00A40D15"/>
    <w:rsid w:val="00A41FBC"/>
    <w:rsid w:val="00A51647"/>
    <w:rsid w:val="00A60A2D"/>
    <w:rsid w:val="00A70516"/>
    <w:rsid w:val="00A70D77"/>
    <w:rsid w:val="00A71426"/>
    <w:rsid w:val="00A73521"/>
    <w:rsid w:val="00A941E6"/>
    <w:rsid w:val="00AA0D6E"/>
    <w:rsid w:val="00AA1B37"/>
    <w:rsid w:val="00AA3A20"/>
    <w:rsid w:val="00AA497C"/>
    <w:rsid w:val="00AB31C0"/>
    <w:rsid w:val="00AB4C96"/>
    <w:rsid w:val="00AB6CF7"/>
    <w:rsid w:val="00AC739C"/>
    <w:rsid w:val="00AE1190"/>
    <w:rsid w:val="00AF7748"/>
    <w:rsid w:val="00AF79A6"/>
    <w:rsid w:val="00B003B1"/>
    <w:rsid w:val="00B0044F"/>
    <w:rsid w:val="00B011F3"/>
    <w:rsid w:val="00B016B1"/>
    <w:rsid w:val="00B106A3"/>
    <w:rsid w:val="00B12384"/>
    <w:rsid w:val="00B15F66"/>
    <w:rsid w:val="00B16FC7"/>
    <w:rsid w:val="00B172AF"/>
    <w:rsid w:val="00B27575"/>
    <w:rsid w:val="00B442DB"/>
    <w:rsid w:val="00B44468"/>
    <w:rsid w:val="00B46BF7"/>
    <w:rsid w:val="00B531D6"/>
    <w:rsid w:val="00B5424F"/>
    <w:rsid w:val="00B5682D"/>
    <w:rsid w:val="00B62CFA"/>
    <w:rsid w:val="00B67F04"/>
    <w:rsid w:val="00B71DC1"/>
    <w:rsid w:val="00B7379D"/>
    <w:rsid w:val="00B73853"/>
    <w:rsid w:val="00B74B7E"/>
    <w:rsid w:val="00B80F01"/>
    <w:rsid w:val="00B97A76"/>
    <w:rsid w:val="00BA0628"/>
    <w:rsid w:val="00BA4761"/>
    <w:rsid w:val="00BB6132"/>
    <w:rsid w:val="00BB7164"/>
    <w:rsid w:val="00BB7A66"/>
    <w:rsid w:val="00BC1293"/>
    <w:rsid w:val="00BC1D83"/>
    <w:rsid w:val="00BC5EC2"/>
    <w:rsid w:val="00BC7229"/>
    <w:rsid w:val="00BD3B85"/>
    <w:rsid w:val="00BE32D8"/>
    <w:rsid w:val="00BF1D07"/>
    <w:rsid w:val="00BF2029"/>
    <w:rsid w:val="00BF23A2"/>
    <w:rsid w:val="00C0450C"/>
    <w:rsid w:val="00C147D0"/>
    <w:rsid w:val="00C1669E"/>
    <w:rsid w:val="00C238C6"/>
    <w:rsid w:val="00C26F6F"/>
    <w:rsid w:val="00C32CF4"/>
    <w:rsid w:val="00C33C9C"/>
    <w:rsid w:val="00C36265"/>
    <w:rsid w:val="00C45B3C"/>
    <w:rsid w:val="00C56C58"/>
    <w:rsid w:val="00C57F9E"/>
    <w:rsid w:val="00C628D3"/>
    <w:rsid w:val="00C67469"/>
    <w:rsid w:val="00C67706"/>
    <w:rsid w:val="00C70EB5"/>
    <w:rsid w:val="00C712E1"/>
    <w:rsid w:val="00C71EB4"/>
    <w:rsid w:val="00C7527C"/>
    <w:rsid w:val="00C75BEB"/>
    <w:rsid w:val="00C83443"/>
    <w:rsid w:val="00C83ABD"/>
    <w:rsid w:val="00C842EE"/>
    <w:rsid w:val="00C92222"/>
    <w:rsid w:val="00C9630A"/>
    <w:rsid w:val="00CA033F"/>
    <w:rsid w:val="00CA39CF"/>
    <w:rsid w:val="00CC023E"/>
    <w:rsid w:val="00CC4DBE"/>
    <w:rsid w:val="00CC6C42"/>
    <w:rsid w:val="00CD23B0"/>
    <w:rsid w:val="00CD3D09"/>
    <w:rsid w:val="00CD59A3"/>
    <w:rsid w:val="00CD7943"/>
    <w:rsid w:val="00CF0790"/>
    <w:rsid w:val="00CF568A"/>
    <w:rsid w:val="00D06E0F"/>
    <w:rsid w:val="00D12EBF"/>
    <w:rsid w:val="00D1677E"/>
    <w:rsid w:val="00D17779"/>
    <w:rsid w:val="00D23E50"/>
    <w:rsid w:val="00D26A5D"/>
    <w:rsid w:val="00D31980"/>
    <w:rsid w:val="00D34E2C"/>
    <w:rsid w:val="00D43DE8"/>
    <w:rsid w:val="00D473AF"/>
    <w:rsid w:val="00D5234F"/>
    <w:rsid w:val="00D54DDB"/>
    <w:rsid w:val="00D64D96"/>
    <w:rsid w:val="00D67F5F"/>
    <w:rsid w:val="00D70B56"/>
    <w:rsid w:val="00D72408"/>
    <w:rsid w:val="00D735F3"/>
    <w:rsid w:val="00D7587D"/>
    <w:rsid w:val="00D76910"/>
    <w:rsid w:val="00D80FB0"/>
    <w:rsid w:val="00D81108"/>
    <w:rsid w:val="00D81225"/>
    <w:rsid w:val="00D8218D"/>
    <w:rsid w:val="00D822F0"/>
    <w:rsid w:val="00D829F8"/>
    <w:rsid w:val="00D9095D"/>
    <w:rsid w:val="00D9320A"/>
    <w:rsid w:val="00DB2C88"/>
    <w:rsid w:val="00DB3583"/>
    <w:rsid w:val="00DB6C5D"/>
    <w:rsid w:val="00DB6D97"/>
    <w:rsid w:val="00DB7AB7"/>
    <w:rsid w:val="00DC41AC"/>
    <w:rsid w:val="00DD6A00"/>
    <w:rsid w:val="00DD6E57"/>
    <w:rsid w:val="00DD725F"/>
    <w:rsid w:val="00DE5350"/>
    <w:rsid w:val="00DE7019"/>
    <w:rsid w:val="00DF4FA8"/>
    <w:rsid w:val="00DF5D40"/>
    <w:rsid w:val="00E011D1"/>
    <w:rsid w:val="00E038C6"/>
    <w:rsid w:val="00E05767"/>
    <w:rsid w:val="00E153F2"/>
    <w:rsid w:val="00E1669F"/>
    <w:rsid w:val="00E1694C"/>
    <w:rsid w:val="00E24F16"/>
    <w:rsid w:val="00E30F26"/>
    <w:rsid w:val="00E335E2"/>
    <w:rsid w:val="00E35E56"/>
    <w:rsid w:val="00E36882"/>
    <w:rsid w:val="00E37250"/>
    <w:rsid w:val="00E448BA"/>
    <w:rsid w:val="00E51ECE"/>
    <w:rsid w:val="00E54B72"/>
    <w:rsid w:val="00E55777"/>
    <w:rsid w:val="00E56B78"/>
    <w:rsid w:val="00E57A4C"/>
    <w:rsid w:val="00E7043C"/>
    <w:rsid w:val="00E85940"/>
    <w:rsid w:val="00E90486"/>
    <w:rsid w:val="00E93296"/>
    <w:rsid w:val="00EA4311"/>
    <w:rsid w:val="00EB3662"/>
    <w:rsid w:val="00EB3D1D"/>
    <w:rsid w:val="00EB752F"/>
    <w:rsid w:val="00EC6657"/>
    <w:rsid w:val="00ED75E9"/>
    <w:rsid w:val="00ED7EB2"/>
    <w:rsid w:val="00EE2C76"/>
    <w:rsid w:val="00EE5AAF"/>
    <w:rsid w:val="00EF6022"/>
    <w:rsid w:val="00F006BC"/>
    <w:rsid w:val="00F02166"/>
    <w:rsid w:val="00F11406"/>
    <w:rsid w:val="00F133E1"/>
    <w:rsid w:val="00F22A5E"/>
    <w:rsid w:val="00F3073E"/>
    <w:rsid w:val="00F33BF9"/>
    <w:rsid w:val="00F3554D"/>
    <w:rsid w:val="00F40258"/>
    <w:rsid w:val="00F4130D"/>
    <w:rsid w:val="00F43307"/>
    <w:rsid w:val="00F43BFC"/>
    <w:rsid w:val="00F445DA"/>
    <w:rsid w:val="00F53F4A"/>
    <w:rsid w:val="00F64B56"/>
    <w:rsid w:val="00F65491"/>
    <w:rsid w:val="00F65B24"/>
    <w:rsid w:val="00F760FA"/>
    <w:rsid w:val="00F769EB"/>
    <w:rsid w:val="00F817E1"/>
    <w:rsid w:val="00F82EE1"/>
    <w:rsid w:val="00F8311A"/>
    <w:rsid w:val="00F83EC1"/>
    <w:rsid w:val="00F86ABD"/>
    <w:rsid w:val="00F872EA"/>
    <w:rsid w:val="00F87E61"/>
    <w:rsid w:val="00F96955"/>
    <w:rsid w:val="00F97CC9"/>
    <w:rsid w:val="00F97D73"/>
    <w:rsid w:val="00FB1312"/>
    <w:rsid w:val="00FB58DB"/>
    <w:rsid w:val="00FC1E50"/>
    <w:rsid w:val="00FC3406"/>
    <w:rsid w:val="00FC3943"/>
    <w:rsid w:val="00FD3B86"/>
    <w:rsid w:val="00FE480B"/>
    <w:rsid w:val="00FE69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1F6D87-62F0-4B62-BBE4-A5F7CA96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587"/>
    <w:rPr>
      <w:rFonts w:ascii="Arial" w:hAnsi="Arial"/>
      <w:sz w:val="22"/>
      <w:szCs w:val="24"/>
    </w:rPr>
  </w:style>
  <w:style w:type="paragraph" w:styleId="1">
    <w:name w:val="heading 1"/>
    <w:basedOn w:val="a"/>
    <w:next w:val="a"/>
    <w:link w:val="1Char"/>
    <w:uiPriority w:val="9"/>
    <w:qFormat/>
    <w:rsid w:val="001109EC"/>
    <w:pPr>
      <w:keepNext/>
      <w:spacing w:before="240" w:after="60"/>
      <w:outlineLvl w:val="0"/>
    </w:pPr>
    <w:rPr>
      <w:rFonts w:ascii="Calibri Light" w:hAnsi="Calibri Light"/>
      <w:b/>
      <w:bCs/>
      <w:kern w:val="32"/>
      <w:sz w:val="32"/>
      <w:szCs w:val="32"/>
    </w:rPr>
  </w:style>
  <w:style w:type="paragraph" w:styleId="2">
    <w:name w:val="heading 2"/>
    <w:basedOn w:val="a"/>
    <w:next w:val="a"/>
    <w:qFormat/>
    <w:rsid w:val="00771587"/>
    <w:pPr>
      <w:keepNext/>
      <w:jc w:val="right"/>
      <w:outlineLvl w:val="1"/>
    </w:pPr>
    <w:rPr>
      <w:sz w:val="24"/>
      <w:szCs w:val="20"/>
    </w:rPr>
  </w:style>
  <w:style w:type="paragraph" w:styleId="3">
    <w:name w:val="heading 3"/>
    <w:basedOn w:val="a"/>
    <w:next w:val="a"/>
    <w:qFormat/>
    <w:rsid w:val="00771587"/>
    <w:pPr>
      <w:keepNext/>
      <w:outlineLvl w:val="2"/>
    </w:pPr>
    <w:rPr>
      <w:b/>
      <w:sz w:val="24"/>
      <w:szCs w:val="20"/>
    </w:rPr>
  </w:style>
  <w:style w:type="paragraph" w:styleId="5">
    <w:name w:val="heading 5"/>
    <w:basedOn w:val="a"/>
    <w:next w:val="a"/>
    <w:link w:val="5Char"/>
    <w:uiPriority w:val="9"/>
    <w:semiHidden/>
    <w:unhideWhenUsed/>
    <w:qFormat/>
    <w:rsid w:val="000E1CC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71587"/>
    <w:pPr>
      <w:tabs>
        <w:tab w:val="center" w:pos="4153"/>
        <w:tab w:val="right" w:pos="8306"/>
      </w:tabs>
    </w:pPr>
  </w:style>
  <w:style w:type="paragraph" w:styleId="a4">
    <w:name w:val="footer"/>
    <w:basedOn w:val="a"/>
    <w:link w:val="Char0"/>
    <w:uiPriority w:val="99"/>
    <w:rsid w:val="00771587"/>
    <w:pPr>
      <w:tabs>
        <w:tab w:val="center" w:pos="4153"/>
        <w:tab w:val="right" w:pos="8306"/>
      </w:tabs>
    </w:pPr>
  </w:style>
  <w:style w:type="character" w:styleId="-">
    <w:name w:val="Hyperlink"/>
    <w:rsid w:val="00F4130D"/>
    <w:rPr>
      <w:color w:val="0000FF"/>
      <w:u w:val="single"/>
    </w:rPr>
  </w:style>
  <w:style w:type="paragraph" w:styleId="a5">
    <w:name w:val="Balloon Text"/>
    <w:basedOn w:val="a"/>
    <w:semiHidden/>
    <w:rsid w:val="00B7379D"/>
    <w:rPr>
      <w:rFonts w:ascii="Tahoma" w:hAnsi="Tahoma" w:cs="Tahoma"/>
      <w:sz w:val="16"/>
      <w:szCs w:val="16"/>
    </w:rPr>
  </w:style>
  <w:style w:type="character" w:styleId="a6">
    <w:name w:val="Strong"/>
    <w:uiPriority w:val="22"/>
    <w:qFormat/>
    <w:rsid w:val="00972351"/>
    <w:rPr>
      <w:b/>
      <w:bCs/>
    </w:rPr>
  </w:style>
  <w:style w:type="character" w:customStyle="1" w:styleId="Char">
    <w:name w:val="Κεφαλίδα Char"/>
    <w:link w:val="a3"/>
    <w:uiPriority w:val="99"/>
    <w:rsid w:val="00BC7229"/>
    <w:rPr>
      <w:rFonts w:ascii="Arial" w:hAnsi="Arial"/>
      <w:sz w:val="22"/>
      <w:szCs w:val="24"/>
    </w:rPr>
  </w:style>
  <w:style w:type="character" w:customStyle="1" w:styleId="Char0">
    <w:name w:val="Υποσέλιδο Char"/>
    <w:link w:val="a4"/>
    <w:uiPriority w:val="99"/>
    <w:rsid w:val="00776FF9"/>
    <w:rPr>
      <w:rFonts w:ascii="Arial" w:hAnsi="Arial"/>
      <w:sz w:val="22"/>
      <w:szCs w:val="24"/>
      <w:lang w:val="el-GR" w:eastAsia="el-GR"/>
    </w:rPr>
  </w:style>
  <w:style w:type="character" w:customStyle="1" w:styleId="1Char">
    <w:name w:val="Επικεφαλίδα 1 Char"/>
    <w:link w:val="1"/>
    <w:uiPriority w:val="9"/>
    <w:rsid w:val="001109EC"/>
    <w:rPr>
      <w:rFonts w:ascii="Calibri Light" w:eastAsia="Times New Roman" w:hAnsi="Calibri Light" w:cs="Times New Roman"/>
      <w:b/>
      <w:bCs/>
      <w:kern w:val="32"/>
      <w:sz w:val="32"/>
      <w:szCs w:val="32"/>
    </w:rPr>
  </w:style>
  <w:style w:type="character" w:customStyle="1" w:styleId="5Char">
    <w:name w:val="Επικεφαλίδα 5 Char"/>
    <w:link w:val="5"/>
    <w:uiPriority w:val="9"/>
    <w:semiHidden/>
    <w:rsid w:val="000E1CC8"/>
    <w:rPr>
      <w:rFonts w:ascii="Calibri" w:eastAsia="Times New Roman" w:hAnsi="Calibri" w:cs="Times New Roman"/>
      <w:b/>
      <w:bCs/>
      <w:i/>
      <w:iCs/>
      <w:sz w:val="26"/>
      <w:szCs w:val="26"/>
    </w:rPr>
  </w:style>
  <w:style w:type="table" w:styleId="a7">
    <w:name w:val="Table Grid"/>
    <w:basedOn w:val="a1"/>
    <w:rsid w:val="000E1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pe">
    <w:name w:val="nepe"/>
    <w:rsid w:val="00832E05"/>
  </w:style>
  <w:style w:type="paragraph" w:styleId="Web">
    <w:name w:val="Normal (Web)"/>
    <w:basedOn w:val="a"/>
    <w:uiPriority w:val="99"/>
    <w:unhideWhenUsed/>
    <w:rsid w:val="009F2270"/>
    <w:pPr>
      <w:spacing w:before="100" w:beforeAutospacing="1" w:after="100" w:afterAutospacing="1"/>
    </w:pPr>
    <w:rPr>
      <w:rFonts w:ascii="Times New Roman" w:hAnsi="Times New Roman"/>
      <w:sz w:val="24"/>
    </w:rPr>
  </w:style>
  <w:style w:type="paragraph" w:styleId="a8">
    <w:name w:val="List Paragraph"/>
    <w:basedOn w:val="a"/>
    <w:qFormat/>
    <w:rsid w:val="009F2270"/>
    <w:pPr>
      <w:spacing w:after="160" w:line="259" w:lineRule="auto"/>
      <w:ind w:left="720"/>
      <w:contextualSpacing/>
    </w:pPr>
    <w:rPr>
      <w:rFonts w:ascii="Calibri" w:eastAsia="Calibri" w:hAnsi="Calibri"/>
      <w:szCs w:val="22"/>
      <w:lang w:eastAsia="en-US"/>
    </w:rPr>
  </w:style>
  <w:style w:type="paragraph" w:styleId="a9">
    <w:name w:val="Body Text"/>
    <w:basedOn w:val="a"/>
    <w:link w:val="Char1"/>
    <w:semiHidden/>
    <w:unhideWhenUsed/>
    <w:rsid w:val="00314581"/>
    <w:pPr>
      <w:suppressAutoHyphens/>
      <w:spacing w:after="140" w:line="288" w:lineRule="auto"/>
    </w:pPr>
    <w:rPr>
      <w:rFonts w:ascii="Times New Roman" w:hAnsi="Times New Roman"/>
      <w:sz w:val="24"/>
      <w:lang w:val="es-ES" w:eastAsia="zh-CN"/>
    </w:rPr>
  </w:style>
  <w:style w:type="character" w:customStyle="1" w:styleId="Char1">
    <w:name w:val="Σώμα κειμένου Char"/>
    <w:basedOn w:val="a0"/>
    <w:link w:val="a9"/>
    <w:semiHidden/>
    <w:rsid w:val="00314581"/>
    <w:rPr>
      <w:sz w:val="24"/>
      <w:szCs w:val="24"/>
      <w:lang w:val="es-ES" w:eastAsia="zh-CN"/>
    </w:rPr>
  </w:style>
  <w:style w:type="table" w:styleId="aa">
    <w:name w:val="Grid Table Light"/>
    <w:basedOn w:val="a1"/>
    <w:uiPriority w:val="40"/>
    <w:rsid w:val="00EE5A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649057">
      <w:bodyDiv w:val="1"/>
      <w:marLeft w:val="0"/>
      <w:marRight w:val="0"/>
      <w:marTop w:val="0"/>
      <w:marBottom w:val="0"/>
      <w:divBdr>
        <w:top w:val="none" w:sz="0" w:space="0" w:color="auto"/>
        <w:left w:val="none" w:sz="0" w:space="0" w:color="auto"/>
        <w:bottom w:val="none" w:sz="0" w:space="0" w:color="auto"/>
        <w:right w:val="none" w:sz="0" w:space="0" w:color="auto"/>
      </w:divBdr>
    </w:div>
    <w:div w:id="641078465">
      <w:bodyDiv w:val="1"/>
      <w:marLeft w:val="0"/>
      <w:marRight w:val="0"/>
      <w:marTop w:val="0"/>
      <w:marBottom w:val="0"/>
      <w:divBdr>
        <w:top w:val="none" w:sz="0" w:space="0" w:color="auto"/>
        <w:left w:val="none" w:sz="0" w:space="0" w:color="auto"/>
        <w:bottom w:val="none" w:sz="0" w:space="0" w:color="auto"/>
        <w:right w:val="none" w:sz="0" w:space="0" w:color="auto"/>
      </w:divBdr>
    </w:div>
    <w:div w:id="832376173">
      <w:bodyDiv w:val="1"/>
      <w:marLeft w:val="0"/>
      <w:marRight w:val="0"/>
      <w:marTop w:val="0"/>
      <w:marBottom w:val="0"/>
      <w:divBdr>
        <w:top w:val="none" w:sz="0" w:space="0" w:color="auto"/>
        <w:left w:val="none" w:sz="0" w:space="0" w:color="auto"/>
        <w:bottom w:val="none" w:sz="0" w:space="0" w:color="auto"/>
        <w:right w:val="none" w:sz="0" w:space="0" w:color="auto"/>
      </w:divBdr>
    </w:div>
    <w:div w:id="986860209">
      <w:bodyDiv w:val="1"/>
      <w:marLeft w:val="0"/>
      <w:marRight w:val="0"/>
      <w:marTop w:val="0"/>
      <w:marBottom w:val="0"/>
      <w:divBdr>
        <w:top w:val="none" w:sz="0" w:space="0" w:color="auto"/>
        <w:left w:val="none" w:sz="0" w:space="0" w:color="auto"/>
        <w:bottom w:val="none" w:sz="0" w:space="0" w:color="auto"/>
        <w:right w:val="none" w:sz="0" w:space="0" w:color="auto"/>
      </w:divBdr>
    </w:div>
    <w:div w:id="1144349400">
      <w:bodyDiv w:val="1"/>
      <w:marLeft w:val="0"/>
      <w:marRight w:val="0"/>
      <w:marTop w:val="0"/>
      <w:marBottom w:val="0"/>
      <w:divBdr>
        <w:top w:val="none" w:sz="0" w:space="0" w:color="auto"/>
        <w:left w:val="none" w:sz="0" w:space="0" w:color="auto"/>
        <w:bottom w:val="none" w:sz="0" w:space="0" w:color="auto"/>
        <w:right w:val="none" w:sz="0" w:space="0" w:color="auto"/>
      </w:divBdr>
    </w:div>
    <w:div w:id="1412003743">
      <w:bodyDiv w:val="1"/>
      <w:marLeft w:val="0"/>
      <w:marRight w:val="0"/>
      <w:marTop w:val="0"/>
      <w:marBottom w:val="0"/>
      <w:divBdr>
        <w:top w:val="none" w:sz="0" w:space="0" w:color="auto"/>
        <w:left w:val="none" w:sz="0" w:space="0" w:color="auto"/>
        <w:bottom w:val="none" w:sz="0" w:space="0" w:color="auto"/>
        <w:right w:val="none" w:sz="0" w:space="0" w:color="auto"/>
      </w:divBdr>
    </w:div>
    <w:div w:id="1565946854">
      <w:bodyDiv w:val="1"/>
      <w:marLeft w:val="0"/>
      <w:marRight w:val="0"/>
      <w:marTop w:val="0"/>
      <w:marBottom w:val="0"/>
      <w:divBdr>
        <w:top w:val="none" w:sz="0" w:space="0" w:color="auto"/>
        <w:left w:val="none" w:sz="0" w:space="0" w:color="auto"/>
        <w:bottom w:val="none" w:sz="0" w:space="0" w:color="auto"/>
        <w:right w:val="none" w:sz="0" w:space="0" w:color="auto"/>
      </w:divBdr>
    </w:div>
    <w:div w:id="1582256080">
      <w:bodyDiv w:val="1"/>
      <w:marLeft w:val="0"/>
      <w:marRight w:val="0"/>
      <w:marTop w:val="0"/>
      <w:marBottom w:val="0"/>
      <w:divBdr>
        <w:top w:val="none" w:sz="0" w:space="0" w:color="auto"/>
        <w:left w:val="none" w:sz="0" w:space="0" w:color="auto"/>
        <w:bottom w:val="none" w:sz="0" w:space="0" w:color="auto"/>
        <w:right w:val="none" w:sz="0" w:space="0" w:color="auto"/>
      </w:divBdr>
    </w:div>
    <w:div w:id="1649359941">
      <w:bodyDiv w:val="1"/>
      <w:marLeft w:val="0"/>
      <w:marRight w:val="0"/>
      <w:marTop w:val="0"/>
      <w:marBottom w:val="0"/>
      <w:divBdr>
        <w:top w:val="none" w:sz="0" w:space="0" w:color="auto"/>
        <w:left w:val="none" w:sz="0" w:space="0" w:color="auto"/>
        <w:bottom w:val="none" w:sz="0" w:space="0" w:color="auto"/>
        <w:right w:val="none" w:sz="0" w:space="0" w:color="auto"/>
      </w:divBdr>
    </w:div>
    <w:div w:id="1662540847">
      <w:bodyDiv w:val="1"/>
      <w:marLeft w:val="0"/>
      <w:marRight w:val="0"/>
      <w:marTop w:val="0"/>
      <w:marBottom w:val="0"/>
      <w:divBdr>
        <w:top w:val="none" w:sz="0" w:space="0" w:color="auto"/>
        <w:left w:val="none" w:sz="0" w:space="0" w:color="auto"/>
        <w:bottom w:val="none" w:sz="0" w:space="0" w:color="auto"/>
        <w:right w:val="none" w:sz="0" w:space="0" w:color="auto"/>
      </w:divBdr>
    </w:div>
    <w:div w:id="1670524012">
      <w:bodyDiv w:val="1"/>
      <w:marLeft w:val="0"/>
      <w:marRight w:val="0"/>
      <w:marTop w:val="0"/>
      <w:marBottom w:val="0"/>
      <w:divBdr>
        <w:top w:val="none" w:sz="0" w:space="0" w:color="auto"/>
        <w:left w:val="none" w:sz="0" w:space="0" w:color="auto"/>
        <w:bottom w:val="none" w:sz="0" w:space="0" w:color="auto"/>
        <w:right w:val="none" w:sz="0" w:space="0" w:color="auto"/>
      </w:divBdr>
    </w:div>
    <w:div w:id="1740907227">
      <w:bodyDiv w:val="1"/>
      <w:marLeft w:val="0"/>
      <w:marRight w:val="0"/>
      <w:marTop w:val="0"/>
      <w:marBottom w:val="0"/>
      <w:divBdr>
        <w:top w:val="none" w:sz="0" w:space="0" w:color="auto"/>
        <w:left w:val="none" w:sz="0" w:space="0" w:color="auto"/>
        <w:bottom w:val="none" w:sz="0" w:space="0" w:color="auto"/>
        <w:right w:val="none" w:sz="0" w:space="0" w:color="auto"/>
      </w:divBdr>
    </w:div>
    <w:div w:id="2043823802">
      <w:bodyDiv w:val="1"/>
      <w:marLeft w:val="0"/>
      <w:marRight w:val="0"/>
      <w:marTop w:val="0"/>
      <w:marBottom w:val="0"/>
      <w:divBdr>
        <w:top w:val="none" w:sz="0" w:space="0" w:color="auto"/>
        <w:left w:val="none" w:sz="0" w:space="0" w:color="auto"/>
        <w:bottom w:val="none" w:sz="0" w:space="0" w:color="auto"/>
        <w:right w:val="none" w:sz="0" w:space="0" w:color="auto"/>
      </w:divBdr>
    </w:div>
    <w:div w:id="2066371567">
      <w:bodyDiv w:val="1"/>
      <w:marLeft w:val="0"/>
      <w:marRight w:val="0"/>
      <w:marTop w:val="0"/>
      <w:marBottom w:val="0"/>
      <w:divBdr>
        <w:top w:val="none" w:sz="0" w:space="0" w:color="auto"/>
        <w:left w:val="none" w:sz="0" w:space="0" w:color="auto"/>
        <w:bottom w:val="none" w:sz="0" w:space="0" w:color="auto"/>
        <w:right w:val="none" w:sz="0" w:space="0" w:color="auto"/>
      </w:divBdr>
    </w:div>
    <w:div w:id="213301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diagramQuickStyle" Target="diagrams/quickStyle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christos.FING\Documents\1%20&#917;&#929;&#915;&#927;%20&#932;&#924;&#919;&#924;&#913;&#932;&#927;&#931;\2018\8%20&#913;&#933;&#915;&#927;&#933;&#931;&#932;&#927;&#931;\&#913;&#960;&#959;&#954;&#955;&#943;&#963;&#949;&#953;&#96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hristos.FING\Documents\1%20&#917;&#929;&#915;&#927;%20&#932;&#924;&#919;&#924;&#913;&#932;&#927;&#931;\2018\8%20&#913;&#933;&#915;&#927;&#933;&#931;&#932;&#927;&#931;\&#913;&#960;&#959;&#954;&#955;&#943;&#963;&#949;&#953;&#96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Pt>
            <c:idx val="0"/>
            <c:invertIfNegative val="0"/>
            <c:bubble3D val="0"/>
            <c:spPr>
              <a:solidFill>
                <a:srgbClr val="C00000"/>
              </a:solidFill>
              <a:ln>
                <a:noFill/>
              </a:ln>
              <a:effectLst/>
            </c:spPr>
          </c:dPt>
          <c:dPt>
            <c:idx val="1"/>
            <c:invertIfNegative val="0"/>
            <c:bubble3D val="0"/>
            <c:spPr>
              <a:solidFill>
                <a:srgbClr val="C00000"/>
              </a:solidFill>
              <a:ln>
                <a:noFill/>
              </a:ln>
              <a:effectLst/>
            </c:spPr>
          </c:dPt>
          <c:dPt>
            <c:idx val="2"/>
            <c:invertIfNegative val="0"/>
            <c:bubble3D val="0"/>
            <c:spPr>
              <a:solidFill>
                <a:srgbClr val="C00000"/>
              </a:solidFill>
              <a:ln>
                <a:noFill/>
              </a:ln>
              <a:effectLst/>
            </c:spPr>
          </c:dPt>
          <c:dPt>
            <c:idx val="3"/>
            <c:invertIfNegative val="0"/>
            <c:bubble3D val="0"/>
            <c:spPr>
              <a:solidFill>
                <a:srgbClr val="C00000"/>
              </a:solidFill>
              <a:ln>
                <a:noFill/>
              </a:ln>
              <a:effectLst/>
            </c:spPr>
          </c:dPt>
          <c:dPt>
            <c:idx val="4"/>
            <c:invertIfNegative val="0"/>
            <c:bubble3D val="0"/>
            <c:spPr>
              <a:solidFill>
                <a:srgbClr val="C00000"/>
              </a:solidFill>
              <a:ln>
                <a:noFill/>
              </a:ln>
              <a:effectLst/>
            </c:spPr>
          </c:dPt>
          <c:dPt>
            <c:idx val="5"/>
            <c:invertIfNegative val="0"/>
            <c:bubble3D val="0"/>
            <c:spPr>
              <a:solidFill>
                <a:srgbClr val="C00000"/>
              </a:solidFill>
              <a:ln>
                <a:noFill/>
              </a:ln>
              <a:effectLst/>
            </c:spPr>
          </c:dPt>
          <c:dPt>
            <c:idx val="6"/>
            <c:invertIfNegative val="0"/>
            <c:bubble3D val="0"/>
            <c:spPr>
              <a:solidFill>
                <a:srgbClr val="C00000"/>
              </a:solidFill>
              <a:ln>
                <a:noFill/>
              </a:ln>
              <a:effectLst/>
            </c:spPr>
          </c:dPt>
          <c:dPt>
            <c:idx val="7"/>
            <c:invertIfNegative val="0"/>
            <c:bubble3D val="0"/>
            <c:spPr>
              <a:solidFill>
                <a:srgbClr val="C00000"/>
              </a:solidFill>
              <a:ln>
                <a:noFill/>
              </a:ln>
              <a:effectLst/>
            </c:spPr>
          </c:dPt>
          <c:dPt>
            <c:idx val="8"/>
            <c:invertIfNegative val="0"/>
            <c:bubble3D val="0"/>
            <c:spPr>
              <a:solidFill>
                <a:srgbClr val="C00000"/>
              </a:solidFill>
              <a:ln>
                <a:noFill/>
              </a:ln>
              <a:effectLst/>
            </c:spPr>
          </c:dPt>
          <c:dPt>
            <c:idx val="9"/>
            <c:invertIfNegative val="0"/>
            <c:bubble3D val="0"/>
            <c:spPr>
              <a:solidFill>
                <a:srgbClr val="C00000"/>
              </a:solidFill>
              <a:ln>
                <a:noFill/>
              </a:ln>
              <a:effectLst/>
            </c:spPr>
          </c:dPt>
          <c:dPt>
            <c:idx val="10"/>
            <c:invertIfNegative val="0"/>
            <c:bubble3D val="0"/>
            <c:spPr>
              <a:solidFill>
                <a:srgbClr val="0070C0"/>
              </a:solidFill>
              <a:ln>
                <a:noFill/>
              </a:ln>
              <a:effectLst/>
            </c:spPr>
          </c:dPt>
          <c:dPt>
            <c:idx val="11"/>
            <c:invertIfNegative val="0"/>
            <c:bubble3D val="0"/>
            <c:spPr>
              <a:solidFill>
                <a:srgbClr val="0070C0"/>
              </a:solidFill>
              <a:ln>
                <a:noFill/>
              </a:ln>
              <a:effectLst/>
            </c:spPr>
          </c:dPt>
          <c:dPt>
            <c:idx val="12"/>
            <c:invertIfNegative val="0"/>
            <c:bubble3D val="0"/>
            <c:spPr>
              <a:solidFill>
                <a:srgbClr val="0070C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Total!$B$4:$B$16</c:f>
              <c:strCache>
                <c:ptCount val="13"/>
                <c:pt idx="0">
                  <c:v>Στερεά Ελλάδα</c:v>
                </c:pt>
                <c:pt idx="1">
                  <c:v>Ήπειρος</c:v>
                </c:pt>
                <c:pt idx="2">
                  <c:v>Δυτική Ελλάδα</c:v>
                </c:pt>
                <c:pt idx="3">
                  <c:v>Ιόνια νησιά</c:v>
                </c:pt>
                <c:pt idx="4">
                  <c:v>Ανατολική Μακεδονία και Θράκη</c:v>
                </c:pt>
                <c:pt idx="5">
                  <c:v>Δυτική Μακεδονία</c:v>
                </c:pt>
                <c:pt idx="6">
                  <c:v>Πελοπόννησος</c:v>
                </c:pt>
                <c:pt idx="7">
                  <c:v>Κεντρική Μακεδονία</c:v>
                </c:pt>
                <c:pt idx="8">
                  <c:v>Θεσσαλία</c:v>
                </c:pt>
                <c:pt idx="9">
                  <c:v>Νότιο Αιγαίο</c:v>
                </c:pt>
                <c:pt idx="10">
                  <c:v>Κρήτη</c:v>
                </c:pt>
                <c:pt idx="11">
                  <c:v>Βόρειο Αιγαίο</c:v>
                </c:pt>
                <c:pt idx="12">
                  <c:v>Αττική</c:v>
                </c:pt>
              </c:strCache>
            </c:strRef>
          </c:cat>
          <c:val>
            <c:numRef>
              <c:f>Total!$T$4:$T$16</c:f>
              <c:numCache>
                <c:formatCode>0.00%</c:formatCode>
                <c:ptCount val="13"/>
                <c:pt idx="0">
                  <c:v>-0.17034010095066215</c:v>
                </c:pt>
                <c:pt idx="1">
                  <c:v>-8.228392817452071E-2</c:v>
                </c:pt>
                <c:pt idx="2">
                  <c:v>-7.623020166360546E-2</c:v>
                </c:pt>
                <c:pt idx="3">
                  <c:v>-7.5095188858558523E-2</c:v>
                </c:pt>
                <c:pt idx="4">
                  <c:v>-7.4694109726801627E-2</c:v>
                </c:pt>
                <c:pt idx="5">
                  <c:v>-3.86139033377631E-2</c:v>
                </c:pt>
                <c:pt idx="6">
                  <c:v>-2.520977116333651E-2</c:v>
                </c:pt>
                <c:pt idx="7">
                  <c:v>-2.4654474212614359E-2</c:v>
                </c:pt>
                <c:pt idx="8">
                  <c:v>-2.082570848130005E-2</c:v>
                </c:pt>
                <c:pt idx="9">
                  <c:v>-5.6277011790851483E-3</c:v>
                </c:pt>
                <c:pt idx="10">
                  <c:v>1.716716887999141E-2</c:v>
                </c:pt>
                <c:pt idx="11">
                  <c:v>3.1082842036980723E-2</c:v>
                </c:pt>
                <c:pt idx="12">
                  <c:v>5.5255185289304863E-2</c:v>
                </c:pt>
              </c:numCache>
            </c:numRef>
          </c:val>
        </c:ser>
        <c:dLbls>
          <c:showLegendKey val="0"/>
          <c:showVal val="0"/>
          <c:showCatName val="0"/>
          <c:showSerName val="0"/>
          <c:showPercent val="0"/>
          <c:showBubbleSize val="0"/>
        </c:dLbls>
        <c:gapWidth val="182"/>
        <c:axId val="277389416"/>
        <c:axId val="277389808"/>
      </c:barChart>
      <c:catAx>
        <c:axId val="277389416"/>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77389808"/>
        <c:crosses val="autoZero"/>
        <c:auto val="1"/>
        <c:lblAlgn val="ctr"/>
        <c:lblOffset val="100"/>
        <c:noMultiLvlLbl val="0"/>
      </c:catAx>
      <c:valAx>
        <c:axId val="277389808"/>
        <c:scaling>
          <c:orientation val="minMax"/>
        </c:scaling>
        <c:delete val="0"/>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77389416"/>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l-G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289557520746533"/>
          <c:y val="1.5185185346220051E-2"/>
          <c:w val="0.66498573771996128"/>
          <c:h val="0.95347561391845614"/>
        </c:manualLayout>
      </c:layout>
      <c:barChart>
        <c:barDir val="bar"/>
        <c:grouping val="clustered"/>
        <c:varyColors val="0"/>
        <c:ser>
          <c:idx val="0"/>
          <c:order val="0"/>
          <c:tx>
            <c:strRef>
              <c:f>Total!$C$1</c:f>
              <c:strCache>
                <c:ptCount val="1"/>
                <c:pt idx="0">
                  <c:v>2000</c:v>
                </c:pt>
              </c:strCache>
            </c:strRef>
          </c:tx>
          <c:spPr>
            <a:solidFill>
              <a:schemeClr val="accent1"/>
            </a:solidFill>
            <a:ln w="19050">
              <a:solidFill>
                <a:schemeClr val="bg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Total!$B$464:$B$476</c:f>
              <c:strCache>
                <c:ptCount val="13"/>
                <c:pt idx="0">
                  <c:v>Νότιο Αιγαίο</c:v>
                </c:pt>
                <c:pt idx="1">
                  <c:v>Στερεά Ελλάδα</c:v>
                </c:pt>
                <c:pt idx="2">
                  <c:v>Αττική</c:v>
                </c:pt>
                <c:pt idx="3">
                  <c:v>Θεσσαλία</c:v>
                </c:pt>
                <c:pt idx="4">
                  <c:v>Πελοπόννησος</c:v>
                </c:pt>
                <c:pt idx="5">
                  <c:v>Δυτική Μακεδονία</c:v>
                </c:pt>
                <c:pt idx="6">
                  <c:v>Ήπειρος</c:v>
                </c:pt>
                <c:pt idx="7">
                  <c:v>Κεντρική Μακεδονία</c:v>
                </c:pt>
                <c:pt idx="8">
                  <c:v>Βόρειο Αιγαίο</c:v>
                </c:pt>
                <c:pt idx="9">
                  <c:v>Ανατολική Μακεδονία και Θράκη</c:v>
                </c:pt>
                <c:pt idx="10">
                  <c:v>Δυτική Ελλάδα</c:v>
                </c:pt>
                <c:pt idx="11">
                  <c:v>Ιόνια Νησιά</c:v>
                </c:pt>
                <c:pt idx="12">
                  <c:v>Κρήτη</c:v>
                </c:pt>
              </c:strCache>
            </c:strRef>
          </c:cat>
          <c:val>
            <c:numRef>
              <c:f>Total!$C$464:$C$476</c:f>
              <c:numCache>
                <c:formatCode>_(* #,##0.00_);_(* \(#,##0.00\);_(* "-"??_);_(@_)</c:formatCode>
                <c:ptCount val="13"/>
                <c:pt idx="0">
                  <c:v>10.5</c:v>
                </c:pt>
                <c:pt idx="1">
                  <c:v>14.4</c:v>
                </c:pt>
                <c:pt idx="2">
                  <c:v>12.3</c:v>
                </c:pt>
                <c:pt idx="3">
                  <c:v>13</c:v>
                </c:pt>
                <c:pt idx="4">
                  <c:v>9.6999999999999993</c:v>
                </c:pt>
                <c:pt idx="5">
                  <c:v>15</c:v>
                </c:pt>
                <c:pt idx="6">
                  <c:v>11</c:v>
                </c:pt>
                <c:pt idx="7">
                  <c:v>10.9</c:v>
                </c:pt>
                <c:pt idx="8">
                  <c:v>7.7</c:v>
                </c:pt>
                <c:pt idx="9">
                  <c:v>8.8000000000000007</c:v>
                </c:pt>
                <c:pt idx="10">
                  <c:v>10.6</c:v>
                </c:pt>
                <c:pt idx="11">
                  <c:v>5.6</c:v>
                </c:pt>
                <c:pt idx="12">
                  <c:v>7.3</c:v>
                </c:pt>
              </c:numCache>
            </c:numRef>
          </c:val>
        </c:ser>
        <c:ser>
          <c:idx val="1"/>
          <c:order val="1"/>
          <c:tx>
            <c:strRef>
              <c:f>Total!$S$1</c:f>
              <c:strCache>
                <c:ptCount val="1"/>
                <c:pt idx="0">
                  <c:v>2016</c:v>
                </c:pt>
              </c:strCache>
            </c:strRef>
          </c:tx>
          <c:spPr>
            <a:solidFill>
              <a:srgbClr val="C00000"/>
            </a:solidFill>
            <a:ln>
              <a:solidFill>
                <a:schemeClr val="bg1"/>
              </a:solidFill>
            </a:ln>
            <a:effectLst>
              <a:softEdge rad="0"/>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Total!$B$464:$B$476</c:f>
              <c:strCache>
                <c:ptCount val="13"/>
                <c:pt idx="0">
                  <c:v>Νότιο Αιγαίο</c:v>
                </c:pt>
                <c:pt idx="1">
                  <c:v>Στερεά Ελλάδα</c:v>
                </c:pt>
                <c:pt idx="2">
                  <c:v>Αττική</c:v>
                </c:pt>
                <c:pt idx="3">
                  <c:v>Θεσσαλία</c:v>
                </c:pt>
                <c:pt idx="4">
                  <c:v>Πελοπόννησος</c:v>
                </c:pt>
                <c:pt idx="5">
                  <c:v>Δυτική Μακεδονία</c:v>
                </c:pt>
                <c:pt idx="6">
                  <c:v>Ήπειρος</c:v>
                </c:pt>
                <c:pt idx="7">
                  <c:v>Κεντρική Μακεδονία</c:v>
                </c:pt>
                <c:pt idx="8">
                  <c:v>Βόρειο Αιγαίο</c:v>
                </c:pt>
                <c:pt idx="9">
                  <c:v>Ανατολική Μακεδονία και Θράκη</c:v>
                </c:pt>
                <c:pt idx="10">
                  <c:v>Δυτική Ελλάδα</c:v>
                </c:pt>
                <c:pt idx="11">
                  <c:v>Ιόνια Νησιά</c:v>
                </c:pt>
                <c:pt idx="12">
                  <c:v>Κρήτη</c:v>
                </c:pt>
              </c:strCache>
            </c:strRef>
          </c:cat>
          <c:val>
            <c:numRef>
              <c:f>Total!$S$464:$S$476</c:f>
              <c:numCache>
                <c:formatCode>_(* #,##0.00_);_(* \(#,##0.00\);_(* "-"??_);_(@_)</c:formatCode>
                <c:ptCount val="13"/>
                <c:pt idx="0">
                  <c:v>17.5</c:v>
                </c:pt>
                <c:pt idx="1">
                  <c:v>25</c:v>
                </c:pt>
                <c:pt idx="2">
                  <c:v>23</c:v>
                </c:pt>
                <c:pt idx="3">
                  <c:v>25.5</c:v>
                </c:pt>
                <c:pt idx="4">
                  <c:v>19.2</c:v>
                </c:pt>
                <c:pt idx="5">
                  <c:v>31.3</c:v>
                </c:pt>
                <c:pt idx="6">
                  <c:v>24.4</c:v>
                </c:pt>
                <c:pt idx="7">
                  <c:v>24.5</c:v>
                </c:pt>
                <c:pt idx="8">
                  <c:v>18.3</c:v>
                </c:pt>
                <c:pt idx="9">
                  <c:v>22.8</c:v>
                </c:pt>
                <c:pt idx="10">
                  <c:v>29.8</c:v>
                </c:pt>
                <c:pt idx="11">
                  <c:v>16</c:v>
                </c:pt>
                <c:pt idx="12">
                  <c:v>22.6</c:v>
                </c:pt>
              </c:numCache>
            </c:numRef>
          </c:val>
        </c:ser>
        <c:dLbls>
          <c:dLblPos val="outEnd"/>
          <c:showLegendKey val="0"/>
          <c:showVal val="1"/>
          <c:showCatName val="0"/>
          <c:showSerName val="0"/>
          <c:showPercent val="0"/>
          <c:showBubbleSize val="0"/>
        </c:dLbls>
        <c:gapWidth val="182"/>
        <c:axId val="277385888"/>
        <c:axId val="277386280"/>
      </c:barChart>
      <c:catAx>
        <c:axId val="277385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77386280"/>
        <c:crosses val="autoZero"/>
        <c:auto val="1"/>
        <c:lblAlgn val="ctr"/>
        <c:lblOffset val="100"/>
        <c:noMultiLvlLbl val="0"/>
      </c:catAx>
      <c:valAx>
        <c:axId val="277386280"/>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277385888"/>
        <c:crosses val="autoZero"/>
        <c:crossBetween val="between"/>
      </c:valAx>
      <c:spPr>
        <a:noFill/>
        <a:ln>
          <a:noFill/>
        </a:ln>
        <a:effectLst/>
      </c:spPr>
    </c:plotArea>
    <c:legend>
      <c:legendPos val="b"/>
      <c:layout>
        <c:manualLayout>
          <c:xMode val="edge"/>
          <c:yMode val="edge"/>
          <c:x val="0.83612936927226855"/>
          <c:y val="1.7276762557615656E-2"/>
          <c:w val="0.12869547397559475"/>
          <c:h val="0.13511380084428326"/>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17639E-5E3D-4A58-A1A4-612D0A08232D}" type="doc">
      <dgm:prSet loTypeId="urn:microsoft.com/office/officeart/2005/8/layout/default" loCatId="list" qsTypeId="urn:microsoft.com/office/officeart/2005/8/quickstyle/3d1" qsCatId="3D" csTypeId="urn:microsoft.com/office/officeart/2005/8/colors/accent0_3" csCatId="mainScheme" phldr="1"/>
      <dgm:spPr/>
      <dgm:t>
        <a:bodyPr/>
        <a:lstStyle/>
        <a:p>
          <a:endParaRPr lang="el-GR"/>
        </a:p>
      </dgm:t>
    </dgm:pt>
    <dgm:pt modelId="{70022EE7-DEE0-4A0F-BB58-DBFD060E5C97}">
      <dgm:prSet phldrT="[Κείμενο]"/>
      <dgm:spPr>
        <a:solidFill>
          <a:schemeClr val="accent4">
            <a:lumMod val="75000"/>
          </a:schemeClr>
        </a:solidFill>
      </dgm:spPr>
      <dgm:t>
        <a:bodyPr/>
        <a:lstStyle/>
        <a:p>
          <a:pPr algn="ctr"/>
          <a:r>
            <a:rPr lang="el-GR" b="1" dirty="0" smtClean="0"/>
            <a:t>ΕΘΝΙΚΟ ΠΡΟΓΡΑΜΜΑ ΣΥΓΚΛΙΣΗΣ ΓΙΑ ΤΗ ΜΕΙΩΣΗ ΤΩΝ ΠΕΡΙΦΕΡΕΙΑΚΩΝ ΑΝΙΣΟΤΗΤΩΝ</a:t>
          </a:r>
          <a:endParaRPr lang="el-GR" b="1" dirty="0"/>
        </a:p>
      </dgm:t>
    </dgm:pt>
    <dgm:pt modelId="{A9605C58-A517-41CD-893A-A1548FCE71B7}" type="parTrans" cxnId="{A6C1B151-8FAF-4A9C-874B-ECDBC2EA592B}">
      <dgm:prSet/>
      <dgm:spPr/>
      <dgm:t>
        <a:bodyPr/>
        <a:lstStyle/>
        <a:p>
          <a:pPr algn="ctr"/>
          <a:endParaRPr lang="el-GR"/>
        </a:p>
      </dgm:t>
    </dgm:pt>
    <dgm:pt modelId="{1369076F-A524-4903-BB9C-0921E1534A2F}" type="sibTrans" cxnId="{A6C1B151-8FAF-4A9C-874B-ECDBC2EA592B}">
      <dgm:prSet/>
      <dgm:spPr/>
      <dgm:t>
        <a:bodyPr/>
        <a:lstStyle/>
        <a:p>
          <a:pPr algn="ctr"/>
          <a:endParaRPr lang="el-GR"/>
        </a:p>
      </dgm:t>
    </dgm:pt>
    <dgm:pt modelId="{0F58F4EC-E66D-41BB-9BB3-AEEDB4B873C8}">
      <dgm:prSet phldrT="[Κείμενο]"/>
      <dgm:spPr>
        <a:solidFill>
          <a:schemeClr val="accent5">
            <a:lumMod val="75000"/>
          </a:schemeClr>
        </a:solidFill>
      </dgm:spPr>
      <dgm:t>
        <a:bodyPr/>
        <a:lstStyle/>
        <a:p>
          <a:pPr algn="ctr"/>
          <a:r>
            <a:rPr lang="el-GR" b="1" dirty="0" smtClean="0"/>
            <a:t>«ΙΣΧΥΡΗ ΒΙΟΜΗΧΑΝΙΑ, ΙΣΧΥΡΗ ΕΛΛΑΔΑ»</a:t>
          </a:r>
        </a:p>
        <a:p>
          <a:pPr algn="ctr"/>
          <a:r>
            <a:rPr lang="el-GR" b="1" dirty="0" smtClean="0"/>
            <a:t>Μέτρα βιομηχανικής πολιτικής: α) επενδύσεις, β) διεθνώς εμπορεύσιμα προϊόντα, </a:t>
          </a:r>
          <a:br>
            <a:rPr lang="el-GR" b="1" dirty="0" smtClean="0"/>
          </a:br>
          <a:r>
            <a:rPr lang="el-GR" b="1" dirty="0" smtClean="0"/>
            <a:t>γ) καινοτομία, και, δ) υποδομές</a:t>
          </a:r>
          <a:endParaRPr lang="el-GR" b="1" dirty="0"/>
        </a:p>
      </dgm:t>
    </dgm:pt>
    <dgm:pt modelId="{CD3A01F8-7B10-423A-AF56-F417D578B122}" type="parTrans" cxnId="{D7802589-E320-49FB-86CE-690A5004E620}">
      <dgm:prSet/>
      <dgm:spPr/>
      <dgm:t>
        <a:bodyPr/>
        <a:lstStyle/>
        <a:p>
          <a:pPr algn="ctr"/>
          <a:endParaRPr lang="el-GR"/>
        </a:p>
      </dgm:t>
    </dgm:pt>
    <dgm:pt modelId="{DF41184B-5CFB-4790-BBFF-9DE80CAF2298}" type="sibTrans" cxnId="{D7802589-E320-49FB-86CE-690A5004E620}">
      <dgm:prSet/>
      <dgm:spPr/>
      <dgm:t>
        <a:bodyPr/>
        <a:lstStyle/>
        <a:p>
          <a:pPr algn="ctr"/>
          <a:endParaRPr lang="el-GR"/>
        </a:p>
      </dgm:t>
    </dgm:pt>
    <dgm:pt modelId="{86B3A1DB-814D-4E1A-AAC9-9797BEEACBD3}">
      <dgm:prSet phldrT="[Κείμενο]"/>
      <dgm:spPr>
        <a:solidFill>
          <a:schemeClr val="tx1">
            <a:lumMod val="50000"/>
            <a:lumOff val="50000"/>
          </a:schemeClr>
        </a:solidFill>
      </dgm:spPr>
      <dgm:t>
        <a:bodyPr/>
        <a:lstStyle/>
        <a:p>
          <a:pPr algn="ctr"/>
          <a:r>
            <a:rPr lang="el-GR" b="1" dirty="0" smtClean="0"/>
            <a:t>ΘΕΣΠΙΣΗ ΠΡΟΓΡΑΜΜΑΤΟΣ ΕΘΝΙΚΗΣ ΣΤΡΑΤΗΓΙΚΗΣ: «ΕΛΛΑΔΑ – ΒΙΟΜΗΧΑΝΙΑ – </a:t>
          </a:r>
          <a:r>
            <a:rPr lang="en-US" b="1" dirty="0" smtClean="0"/>
            <a:t>Industry 4.0</a:t>
          </a:r>
          <a:r>
            <a:rPr lang="el-GR" b="1" dirty="0" smtClean="0"/>
            <a:t>»</a:t>
          </a:r>
          <a:endParaRPr lang="el-GR" b="1" dirty="0"/>
        </a:p>
      </dgm:t>
    </dgm:pt>
    <dgm:pt modelId="{F33BDA05-ECD5-4F19-A273-33FD8C6B8D16}" type="parTrans" cxnId="{959A4300-069E-427A-A72D-4C7FC7459971}">
      <dgm:prSet/>
      <dgm:spPr/>
      <dgm:t>
        <a:bodyPr/>
        <a:lstStyle/>
        <a:p>
          <a:pPr algn="ctr"/>
          <a:endParaRPr lang="el-GR"/>
        </a:p>
      </dgm:t>
    </dgm:pt>
    <dgm:pt modelId="{6DE0C5BE-CCFA-4025-8891-D2E83D71A62E}" type="sibTrans" cxnId="{959A4300-069E-427A-A72D-4C7FC7459971}">
      <dgm:prSet/>
      <dgm:spPr/>
      <dgm:t>
        <a:bodyPr/>
        <a:lstStyle/>
        <a:p>
          <a:pPr algn="ctr"/>
          <a:endParaRPr lang="el-GR"/>
        </a:p>
      </dgm:t>
    </dgm:pt>
    <dgm:pt modelId="{CCF03021-0917-4504-B1B8-328AFF938E83}" type="pres">
      <dgm:prSet presAssocID="{2517639E-5E3D-4A58-A1A4-612D0A08232D}" presName="diagram" presStyleCnt="0">
        <dgm:presLayoutVars>
          <dgm:dir/>
          <dgm:resizeHandles val="exact"/>
        </dgm:presLayoutVars>
      </dgm:prSet>
      <dgm:spPr/>
      <dgm:t>
        <a:bodyPr/>
        <a:lstStyle/>
        <a:p>
          <a:endParaRPr lang="el-GR"/>
        </a:p>
      </dgm:t>
    </dgm:pt>
    <dgm:pt modelId="{5B2ECB82-CF11-4B87-8267-94AD750F283F}" type="pres">
      <dgm:prSet presAssocID="{70022EE7-DEE0-4A0F-BB58-DBFD060E5C97}" presName="node" presStyleLbl="node1" presStyleIdx="0" presStyleCnt="3">
        <dgm:presLayoutVars>
          <dgm:bulletEnabled val="1"/>
        </dgm:presLayoutVars>
      </dgm:prSet>
      <dgm:spPr/>
      <dgm:t>
        <a:bodyPr/>
        <a:lstStyle/>
        <a:p>
          <a:endParaRPr lang="el-GR"/>
        </a:p>
      </dgm:t>
    </dgm:pt>
    <dgm:pt modelId="{D7C8BC5D-0863-4CD0-AB79-9D58EBBCF3B6}" type="pres">
      <dgm:prSet presAssocID="{1369076F-A524-4903-BB9C-0921E1534A2F}" presName="sibTrans" presStyleCnt="0"/>
      <dgm:spPr/>
    </dgm:pt>
    <dgm:pt modelId="{FD4C6C0A-FC60-4BE4-8B66-025F71437829}" type="pres">
      <dgm:prSet presAssocID="{0F58F4EC-E66D-41BB-9BB3-AEEDB4B873C8}" presName="node" presStyleLbl="node1" presStyleIdx="1" presStyleCnt="3">
        <dgm:presLayoutVars>
          <dgm:bulletEnabled val="1"/>
        </dgm:presLayoutVars>
      </dgm:prSet>
      <dgm:spPr/>
      <dgm:t>
        <a:bodyPr/>
        <a:lstStyle/>
        <a:p>
          <a:endParaRPr lang="el-GR"/>
        </a:p>
      </dgm:t>
    </dgm:pt>
    <dgm:pt modelId="{5677C275-AC5E-4E00-AE54-37D925B9AD41}" type="pres">
      <dgm:prSet presAssocID="{DF41184B-5CFB-4790-BBFF-9DE80CAF2298}" presName="sibTrans" presStyleCnt="0"/>
      <dgm:spPr/>
    </dgm:pt>
    <dgm:pt modelId="{7B0FE27D-AAF6-43F5-93C0-5ACCDA3A1F4B}" type="pres">
      <dgm:prSet presAssocID="{86B3A1DB-814D-4E1A-AAC9-9797BEEACBD3}" presName="node" presStyleLbl="node1" presStyleIdx="2" presStyleCnt="3">
        <dgm:presLayoutVars>
          <dgm:bulletEnabled val="1"/>
        </dgm:presLayoutVars>
      </dgm:prSet>
      <dgm:spPr/>
      <dgm:t>
        <a:bodyPr/>
        <a:lstStyle/>
        <a:p>
          <a:endParaRPr lang="el-GR"/>
        </a:p>
      </dgm:t>
    </dgm:pt>
  </dgm:ptLst>
  <dgm:cxnLst>
    <dgm:cxn modelId="{A6C1B151-8FAF-4A9C-874B-ECDBC2EA592B}" srcId="{2517639E-5E3D-4A58-A1A4-612D0A08232D}" destId="{70022EE7-DEE0-4A0F-BB58-DBFD060E5C97}" srcOrd="0" destOrd="0" parTransId="{A9605C58-A517-41CD-893A-A1548FCE71B7}" sibTransId="{1369076F-A524-4903-BB9C-0921E1534A2F}"/>
    <dgm:cxn modelId="{EFB1F53D-9FBC-4F8D-92A0-EA3EF40A0798}" type="presOf" srcId="{70022EE7-DEE0-4A0F-BB58-DBFD060E5C97}" destId="{5B2ECB82-CF11-4B87-8267-94AD750F283F}" srcOrd="0" destOrd="0" presId="urn:microsoft.com/office/officeart/2005/8/layout/default"/>
    <dgm:cxn modelId="{0A1CEB51-30E2-4918-B32C-0DF745E9B7BD}" type="presOf" srcId="{2517639E-5E3D-4A58-A1A4-612D0A08232D}" destId="{CCF03021-0917-4504-B1B8-328AFF938E83}" srcOrd="0" destOrd="0" presId="urn:microsoft.com/office/officeart/2005/8/layout/default"/>
    <dgm:cxn modelId="{D5D14EAB-236C-42A5-B8DC-13D34A79C266}" type="presOf" srcId="{86B3A1DB-814D-4E1A-AAC9-9797BEEACBD3}" destId="{7B0FE27D-AAF6-43F5-93C0-5ACCDA3A1F4B}" srcOrd="0" destOrd="0" presId="urn:microsoft.com/office/officeart/2005/8/layout/default"/>
    <dgm:cxn modelId="{55B98B86-314A-4599-BA0C-FD4F631CF643}" type="presOf" srcId="{0F58F4EC-E66D-41BB-9BB3-AEEDB4B873C8}" destId="{FD4C6C0A-FC60-4BE4-8B66-025F71437829}" srcOrd="0" destOrd="0" presId="urn:microsoft.com/office/officeart/2005/8/layout/default"/>
    <dgm:cxn modelId="{D7802589-E320-49FB-86CE-690A5004E620}" srcId="{2517639E-5E3D-4A58-A1A4-612D0A08232D}" destId="{0F58F4EC-E66D-41BB-9BB3-AEEDB4B873C8}" srcOrd="1" destOrd="0" parTransId="{CD3A01F8-7B10-423A-AF56-F417D578B122}" sibTransId="{DF41184B-5CFB-4790-BBFF-9DE80CAF2298}"/>
    <dgm:cxn modelId="{959A4300-069E-427A-A72D-4C7FC7459971}" srcId="{2517639E-5E3D-4A58-A1A4-612D0A08232D}" destId="{86B3A1DB-814D-4E1A-AAC9-9797BEEACBD3}" srcOrd="2" destOrd="0" parTransId="{F33BDA05-ECD5-4F19-A273-33FD8C6B8D16}" sibTransId="{6DE0C5BE-CCFA-4025-8891-D2E83D71A62E}"/>
    <dgm:cxn modelId="{84F583A8-D124-44C6-8D45-6F98BD74979D}" type="presParOf" srcId="{CCF03021-0917-4504-B1B8-328AFF938E83}" destId="{5B2ECB82-CF11-4B87-8267-94AD750F283F}" srcOrd="0" destOrd="0" presId="urn:microsoft.com/office/officeart/2005/8/layout/default"/>
    <dgm:cxn modelId="{CCF055B9-EB30-4A6E-AFF8-EFE57090D25D}" type="presParOf" srcId="{CCF03021-0917-4504-B1B8-328AFF938E83}" destId="{D7C8BC5D-0863-4CD0-AB79-9D58EBBCF3B6}" srcOrd="1" destOrd="0" presId="urn:microsoft.com/office/officeart/2005/8/layout/default"/>
    <dgm:cxn modelId="{4B497E75-AFB2-499C-8471-7E678A8FC92F}" type="presParOf" srcId="{CCF03021-0917-4504-B1B8-328AFF938E83}" destId="{FD4C6C0A-FC60-4BE4-8B66-025F71437829}" srcOrd="2" destOrd="0" presId="urn:microsoft.com/office/officeart/2005/8/layout/default"/>
    <dgm:cxn modelId="{BDB382DE-C356-4243-B41E-1A95A0B1FFB4}" type="presParOf" srcId="{CCF03021-0917-4504-B1B8-328AFF938E83}" destId="{5677C275-AC5E-4E00-AE54-37D925B9AD41}" srcOrd="3" destOrd="0" presId="urn:microsoft.com/office/officeart/2005/8/layout/default"/>
    <dgm:cxn modelId="{8D103913-510D-4D14-BC06-17FFB29B07FF}" type="presParOf" srcId="{CCF03021-0917-4504-B1B8-328AFF938E83}" destId="{7B0FE27D-AAF6-43F5-93C0-5ACCDA3A1F4B}" srcOrd="4" destOrd="0" presId="urn:microsoft.com/office/officeart/2005/8/layout/default"/>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2ECB82-CF11-4B87-8267-94AD750F283F}">
      <dsp:nvSpPr>
        <dsp:cNvPr id="0" name=""/>
        <dsp:cNvSpPr/>
      </dsp:nvSpPr>
      <dsp:spPr>
        <a:xfrm>
          <a:off x="1562148" y="359"/>
          <a:ext cx="3040020" cy="1824012"/>
        </a:xfrm>
        <a:prstGeom prst="rect">
          <a:avLst/>
        </a:prstGeom>
        <a:solidFill>
          <a:schemeClr val="accent4">
            <a:lumMod val="75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l-GR" sz="1700" b="1" kern="1200" dirty="0" smtClean="0"/>
            <a:t>ΕΘΝΙΚΟ ΠΡΟΓΡΑΜΜΑ ΣΥΓΚΛΙΣΗΣ ΓΙΑ ΤΗ ΜΕΙΩΣΗ ΤΩΝ ΠΕΡΙΦΕΡΕΙΑΚΩΝ ΑΝΙΣΟΤΗΤΩΝ</a:t>
          </a:r>
          <a:endParaRPr lang="el-GR" sz="1700" b="1" kern="1200" dirty="0"/>
        </a:p>
      </dsp:txBody>
      <dsp:txXfrm>
        <a:off x="1562148" y="359"/>
        <a:ext cx="3040020" cy="1824012"/>
      </dsp:txXfrm>
    </dsp:sp>
    <dsp:sp modelId="{FD4C6C0A-FC60-4BE4-8B66-025F71437829}">
      <dsp:nvSpPr>
        <dsp:cNvPr id="0" name=""/>
        <dsp:cNvSpPr/>
      </dsp:nvSpPr>
      <dsp:spPr>
        <a:xfrm>
          <a:off x="1562148" y="2128373"/>
          <a:ext cx="3040020" cy="1824012"/>
        </a:xfrm>
        <a:prstGeom prst="rect">
          <a:avLst/>
        </a:prstGeom>
        <a:solidFill>
          <a:schemeClr val="accent5">
            <a:lumMod val="75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l-GR" sz="1700" b="1" kern="1200" dirty="0" smtClean="0"/>
            <a:t>«ΙΣΧΥΡΗ ΒΙΟΜΗΧΑΝΙΑ, ΙΣΧΥΡΗ ΕΛΛΑΔΑ»</a:t>
          </a:r>
        </a:p>
        <a:p>
          <a:pPr lvl="0" algn="ctr" defTabSz="755650">
            <a:lnSpc>
              <a:spcPct val="90000"/>
            </a:lnSpc>
            <a:spcBef>
              <a:spcPct val="0"/>
            </a:spcBef>
            <a:spcAft>
              <a:spcPct val="35000"/>
            </a:spcAft>
          </a:pPr>
          <a:r>
            <a:rPr lang="el-GR" sz="1700" b="1" kern="1200" dirty="0" smtClean="0"/>
            <a:t>Μέτρα βιομηχανικής πολιτικής: α) επενδύσεις, β) διεθνώς εμπορεύσιμα προϊόντα, </a:t>
          </a:r>
          <a:br>
            <a:rPr lang="el-GR" sz="1700" b="1" kern="1200" dirty="0" smtClean="0"/>
          </a:br>
          <a:r>
            <a:rPr lang="el-GR" sz="1700" b="1" kern="1200" dirty="0" smtClean="0"/>
            <a:t>γ) καινοτομία, και, δ) υποδομές</a:t>
          </a:r>
          <a:endParaRPr lang="el-GR" sz="1700" b="1" kern="1200" dirty="0"/>
        </a:p>
      </dsp:txBody>
      <dsp:txXfrm>
        <a:off x="1562148" y="2128373"/>
        <a:ext cx="3040020" cy="1824012"/>
      </dsp:txXfrm>
    </dsp:sp>
    <dsp:sp modelId="{7B0FE27D-AAF6-43F5-93C0-5ACCDA3A1F4B}">
      <dsp:nvSpPr>
        <dsp:cNvPr id="0" name=""/>
        <dsp:cNvSpPr/>
      </dsp:nvSpPr>
      <dsp:spPr>
        <a:xfrm>
          <a:off x="1562148" y="4256388"/>
          <a:ext cx="3040020" cy="1824012"/>
        </a:xfrm>
        <a:prstGeom prst="rect">
          <a:avLst/>
        </a:prstGeom>
        <a:solidFill>
          <a:schemeClr val="tx1">
            <a:lumMod val="50000"/>
            <a:lumOff val="50000"/>
          </a:schemeClr>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l-GR" sz="1700" b="1" kern="1200" dirty="0" smtClean="0"/>
            <a:t>ΘΕΣΠΙΣΗ ΠΡΟΓΡΑΜΜΑΤΟΣ ΕΘΝΙΚΗΣ ΣΤΡΑΤΗΓΙΚΗΣ: «ΕΛΛΑΔΑ – ΒΙΟΜΗΧΑΝΙΑ – </a:t>
          </a:r>
          <a:r>
            <a:rPr lang="en-US" sz="1700" b="1" kern="1200" dirty="0" smtClean="0"/>
            <a:t>Industry 4.0</a:t>
          </a:r>
          <a:r>
            <a:rPr lang="el-GR" sz="1700" b="1" kern="1200" dirty="0" smtClean="0"/>
            <a:t>»</a:t>
          </a:r>
          <a:endParaRPr lang="el-GR" sz="1700" b="1" kern="1200" dirty="0"/>
        </a:p>
      </dsp:txBody>
      <dsp:txXfrm>
        <a:off x="1562148" y="4256388"/>
        <a:ext cx="3040020" cy="182401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ED19E-0908-4D91-8C97-CC232A52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19</Pages>
  <Words>3558</Words>
  <Characters>23003</Characters>
  <Application>Microsoft Office Word</Application>
  <DocSecurity>0</DocSecurity>
  <Lines>191</Lines>
  <Paragraphs>53</Paragraphs>
  <ScaleCrop>false</ScaleCrop>
  <HeadingPairs>
    <vt:vector size="2" baseType="variant">
      <vt:variant>
        <vt:lpstr>Τίτλος</vt:lpstr>
      </vt:variant>
      <vt:variant>
        <vt:i4>1</vt:i4>
      </vt:variant>
    </vt:vector>
  </HeadingPairs>
  <TitlesOfParts>
    <vt:vector size="1" baseType="lpstr">
      <vt:lpstr>Αξιότιμε Κύριε Πρωθυπουργέ,</vt:lpstr>
    </vt:vector>
  </TitlesOfParts>
  <Company>sbbe</Company>
  <LinksUpToDate>false</LinksUpToDate>
  <CharactersWithSpaces>26508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Αξιότιμε Κύριε Πρωθυπουργέ,</dc:title>
  <dc:creator>ΠΟΛΙΤΟΥ ΣΤΕΛΛΑ</dc:creator>
  <cp:lastModifiedBy>sofianou</cp:lastModifiedBy>
  <cp:revision>15</cp:revision>
  <cp:lastPrinted>2018-09-04T07:21:00Z</cp:lastPrinted>
  <dcterms:created xsi:type="dcterms:W3CDTF">2018-09-03T07:07:00Z</dcterms:created>
  <dcterms:modified xsi:type="dcterms:W3CDTF">2018-09-04T07:22:00Z</dcterms:modified>
</cp:coreProperties>
</file>